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PROGRAMME GUIDE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Certified Kubernetes Administrator (CKA)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TGS Ref No: TGS-2025054612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1.0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1.0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02 July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First version -- programme guide for WSQ CKA 3.5-day course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Tertiary Infotech Academy Pte Ltd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</w:p>
    <w:p>
      <w:r>
        <w:fldChar w:fldCharType="begin"/>
        <w:instrText xml:space="preserve">TOC \o "1-2" \h \z \u</w:instrText>
        <w:fldChar w:fldCharType="separate"/>
        <w:t>Right-click and choose “Update Field”, or press F9, to build the table of contents.</w:t>
        <w:fldChar w:fldCharType="end"/>
      </w:r>
    </w:p>
    <w:p>
      <w:r>
        <w:br w:type="page"/>
      </w:r>
    </w:p>
    <w:p>
      <w:pPr>
        <w:pStyle w:val="Heading1"/>
        <w:spacing w:before="240"/>
      </w:pPr>
      <w:r>
        <w:t>1. Course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  <w:shd w:val="clear" w:color="auto" w:fill="F1F5FB"/>
          </w:tcPr>
          <w:p>
            <w:r/>
            <w:r>
              <w:rPr>
                <w:b/>
                <w:i w:val="0"/>
                <w:color w:val="111827"/>
                <w:sz w:val="20"/>
              </w:rPr>
              <w:t>Course Title</w:t>
            </w:r>
          </w:p>
        </w:tc>
        <w:tc>
          <w:tcPr>
            <w:tcW w:type="dxa" w:w="6192"/>
          </w:tcPr>
          <w:p>
            <w:r/>
            <w:r>
              <w:rPr>
                <w:b w:val="0"/>
                <w:i w:val="0"/>
                <w:sz w:val="20"/>
              </w:rPr>
              <w:t>Certified Kubernetes Administrator (CKA)</w:t>
            </w:r>
          </w:p>
        </w:tc>
      </w:tr>
      <w:tr>
        <w:tc>
          <w:tcPr>
            <w:tcW w:type="dxa" w:w="3168"/>
            <w:shd w:val="clear" w:color="auto" w:fill="F1F5FB"/>
          </w:tcPr>
          <w:p>
            <w:r/>
            <w:r>
              <w:rPr>
                <w:b/>
                <w:i w:val="0"/>
                <w:color w:val="111827"/>
                <w:sz w:val="20"/>
              </w:rPr>
              <w:t>Course Code</w:t>
            </w:r>
          </w:p>
        </w:tc>
        <w:tc>
          <w:tcPr>
            <w:tcW w:type="dxa" w:w="6192"/>
          </w:tcPr>
          <w:p>
            <w:r/>
            <w:r>
              <w:rPr>
                <w:b w:val="0"/>
                <w:i w:val="0"/>
                <w:sz w:val="20"/>
              </w:rPr>
              <w:t>TGS-2025054612</w:t>
            </w:r>
          </w:p>
        </w:tc>
      </w:tr>
      <w:tr>
        <w:tc>
          <w:tcPr>
            <w:tcW w:type="dxa" w:w="3168"/>
            <w:shd w:val="clear" w:color="auto" w:fill="F1F5FB"/>
          </w:tcPr>
          <w:p>
            <w:r/>
            <w:r>
              <w:rPr>
                <w:b/>
                <w:i w:val="0"/>
                <w:color w:val="111827"/>
                <w:sz w:val="20"/>
              </w:rPr>
              <w:t>SSG Funding</w:t>
            </w:r>
          </w:p>
        </w:tc>
        <w:tc>
          <w:tcPr>
            <w:tcW w:type="dxa" w:w="6192"/>
          </w:tcPr>
          <w:p>
            <w:r/>
            <w:r>
              <w:rPr>
                <w:b w:val="0"/>
                <w:i w:val="0"/>
                <w:sz w:val="20"/>
              </w:rPr>
              <w:t>SkillsFuture Series / WSQ funded (subject to SSG approval)</w:t>
            </w:r>
          </w:p>
        </w:tc>
      </w:tr>
      <w:tr>
        <w:tc>
          <w:tcPr>
            <w:tcW w:type="dxa" w:w="3168"/>
            <w:shd w:val="clear" w:color="auto" w:fill="F1F5FB"/>
          </w:tcPr>
          <w:p>
            <w:r/>
            <w:r>
              <w:rPr>
                <w:b/>
                <w:i w:val="0"/>
                <w:color w:val="111827"/>
                <w:sz w:val="20"/>
              </w:rPr>
              <w:t>Duration</w:t>
            </w:r>
          </w:p>
        </w:tc>
        <w:tc>
          <w:tcPr>
            <w:tcW w:type="dxa" w:w="6192"/>
          </w:tcPr>
          <w:p>
            <w:r/>
            <w:r>
              <w:rPr>
                <w:b w:val="0"/>
                <w:i w:val="0"/>
                <w:sz w:val="20"/>
              </w:rPr>
              <w:t>3.5 Days (28 training hours)</w:t>
            </w:r>
          </w:p>
        </w:tc>
      </w:tr>
      <w:tr>
        <w:tc>
          <w:tcPr>
            <w:tcW w:type="dxa" w:w="3168"/>
            <w:shd w:val="clear" w:color="auto" w:fill="F1F5FB"/>
          </w:tcPr>
          <w:p>
            <w:r/>
            <w:r>
              <w:rPr>
                <w:b/>
                <w:i w:val="0"/>
                <w:color w:val="111827"/>
                <w:sz w:val="20"/>
              </w:rPr>
              <w:t>Mode of Delivery</w:t>
            </w:r>
          </w:p>
        </w:tc>
        <w:tc>
          <w:tcPr>
            <w:tcW w:type="dxa" w:w="6192"/>
          </w:tcPr>
          <w:p>
            <w:r/>
            <w:r>
              <w:rPr>
                <w:b w:val="0"/>
                <w:i w:val="0"/>
                <w:sz w:val="20"/>
              </w:rPr>
              <w:t>Instructor-Led Training (ILT) with hands-on lab practicals</w:t>
            </w:r>
          </w:p>
        </w:tc>
      </w:tr>
      <w:tr>
        <w:tc>
          <w:tcPr>
            <w:tcW w:type="dxa" w:w="3168"/>
            <w:shd w:val="clear" w:color="auto" w:fill="F1F5FB"/>
          </w:tcPr>
          <w:p>
            <w:r/>
            <w:r>
              <w:rPr>
                <w:b/>
                <w:i w:val="0"/>
                <w:color w:val="111827"/>
                <w:sz w:val="20"/>
              </w:rPr>
              <w:t>Lab Environment</w:t>
            </w:r>
          </w:p>
        </w:tc>
        <w:tc>
          <w:tcPr>
            <w:tcW w:type="dxa" w:w="6192"/>
          </w:tcPr>
          <w:p>
            <w:r/>
            <w:r>
              <w:rPr>
                <w:b w:val="0"/>
                <w:i w:val="0"/>
                <w:sz w:val="20"/>
              </w:rPr>
              <w:t>Browser-based Kubernetes environments via Killercoda.com</w:t>
            </w:r>
          </w:p>
        </w:tc>
      </w:tr>
      <w:tr>
        <w:tc>
          <w:tcPr>
            <w:tcW w:type="dxa" w:w="3168"/>
            <w:shd w:val="clear" w:color="auto" w:fill="F1F5FB"/>
          </w:tcPr>
          <w:p>
            <w:r/>
            <w:r>
              <w:rPr>
                <w:b/>
                <w:i w:val="0"/>
                <w:color w:val="111827"/>
                <w:sz w:val="20"/>
              </w:rPr>
              <w:t>Assessment</w:t>
            </w:r>
          </w:p>
        </w:tc>
        <w:tc>
          <w:tcPr>
            <w:tcW w:type="dxa" w:w="6192"/>
          </w:tcPr>
          <w:p>
            <w:r/>
            <w:r>
              <w:rPr>
                <w:b w:val="0"/>
                <w:i w:val="0"/>
                <w:sz w:val="20"/>
              </w:rPr>
              <w:t>Practical assessment on Day 4 PM (WSQ competency assessment)</w:t>
            </w:r>
          </w:p>
        </w:tc>
      </w:tr>
      <w:tr>
        <w:tc>
          <w:tcPr>
            <w:tcW w:type="dxa" w:w="3168"/>
            <w:shd w:val="clear" w:color="auto" w:fill="F1F5FB"/>
          </w:tcPr>
          <w:p>
            <w:r/>
            <w:r>
              <w:rPr>
                <w:b/>
                <w:i w:val="0"/>
                <w:color w:val="111827"/>
                <w:sz w:val="20"/>
              </w:rPr>
              <w:t>Certification</w:t>
            </w:r>
          </w:p>
        </w:tc>
        <w:tc>
          <w:tcPr>
            <w:tcW w:type="dxa" w:w="6192"/>
          </w:tcPr>
          <w:p>
            <w:r/>
            <w:r>
              <w:rPr>
                <w:b w:val="0"/>
                <w:i w:val="0"/>
                <w:sz w:val="20"/>
              </w:rPr>
              <w:t>WSQ Statement of Attainment (SOA) + Certificate of Completion</w:t>
            </w:r>
          </w:p>
        </w:tc>
      </w:tr>
      <w:tr>
        <w:tc>
          <w:tcPr>
            <w:tcW w:type="dxa" w:w="3168"/>
            <w:shd w:val="clear" w:color="auto" w:fill="F1F5FB"/>
          </w:tcPr>
          <w:p>
            <w:r/>
            <w:r>
              <w:rPr>
                <w:b/>
                <w:i w:val="0"/>
                <w:color w:val="111827"/>
                <w:sz w:val="20"/>
              </w:rPr>
              <w:t>Target Audience</w:t>
            </w:r>
          </w:p>
        </w:tc>
        <w:tc>
          <w:tcPr>
            <w:tcW w:type="dxa" w:w="6192"/>
          </w:tcPr>
          <w:p>
            <w:r/>
            <w:r>
              <w:rPr>
                <w:b w:val="0"/>
                <w:i w:val="0"/>
                <w:sz w:val="20"/>
              </w:rPr>
              <w:t>DevOps engineers, platform engineers, system administrators, cloud architects</w:t>
            </w:r>
          </w:p>
        </w:tc>
      </w:tr>
      <w:tr>
        <w:tc>
          <w:tcPr>
            <w:tcW w:type="dxa" w:w="3168"/>
            <w:shd w:val="clear" w:color="auto" w:fill="F1F5FB"/>
          </w:tcPr>
          <w:p>
            <w:r/>
            <w:r>
              <w:rPr>
                <w:b/>
                <w:i w:val="0"/>
                <w:color w:val="111827"/>
                <w:sz w:val="20"/>
              </w:rPr>
              <w:t>Trainer</w:t>
            </w:r>
          </w:p>
        </w:tc>
        <w:tc>
          <w:tcPr>
            <w:tcW w:type="dxa" w:w="6192"/>
          </w:tcPr>
          <w:p>
            <w:r/>
            <w:r>
              <w:rPr>
                <w:b w:val="0"/>
                <w:i w:val="0"/>
                <w:sz w:val="20"/>
              </w:rPr>
              <w:t>Certified Kubernetes Administrator; minimum 3 years Kubernetes production experience</w:t>
            </w:r>
          </w:p>
        </w:tc>
      </w:tr>
      <w:tr>
        <w:tc>
          <w:tcPr>
            <w:tcW w:type="dxa" w:w="3168"/>
            <w:shd w:val="clear" w:color="auto" w:fill="F1F5FB"/>
          </w:tcPr>
          <w:p>
            <w:r/>
            <w:r>
              <w:rPr>
                <w:b/>
                <w:i w:val="0"/>
                <w:color w:val="111827"/>
                <w:sz w:val="20"/>
              </w:rPr>
              <w:t>Course Provider</w:t>
            </w:r>
          </w:p>
        </w:tc>
        <w:tc>
          <w:tcPr>
            <w:tcW w:type="dxa" w:w="6192"/>
          </w:tcPr>
          <w:p>
            <w:r/>
            <w:r>
              <w:rPr>
                <w:b w:val="0"/>
                <w:i w:val="0"/>
                <w:sz w:val="20"/>
              </w:rPr>
              <w:t>Tertiary Infotech Academy Pte Ltd  (UEN: 201200696W)</w:t>
            </w:r>
          </w:p>
        </w:tc>
      </w:tr>
      <w:tr>
        <w:tc>
          <w:tcPr>
            <w:tcW w:type="dxa" w:w="3168"/>
            <w:shd w:val="clear" w:color="auto" w:fill="F1F5FB"/>
          </w:tcPr>
          <w:p>
            <w:r/>
            <w:r>
              <w:rPr>
                <w:b/>
                <w:i w:val="0"/>
                <w:color w:val="111827"/>
                <w:sz w:val="20"/>
              </w:rPr>
              <w:t>Venue</w:t>
            </w:r>
          </w:p>
        </w:tc>
        <w:tc>
          <w:tcPr>
            <w:tcW w:type="dxa" w:w="6192"/>
          </w:tcPr>
          <w:p>
            <w:r/>
            <w:r>
              <w:rPr>
                <w:b w:val="0"/>
                <w:i w:val="0"/>
                <w:sz w:val="20"/>
              </w:rPr>
              <w:t>Tertiary Infotech Academy, Singapore</w:t>
            </w:r>
          </w:p>
        </w:tc>
      </w:tr>
    </w:tbl>
    <w:p/>
    <w:p>
      <w:pPr>
        <w:pStyle w:val="Heading1"/>
        <w:spacing w:before="240"/>
      </w:pPr>
      <w:r>
        <w:t>2. Course Description</w:t>
      </w:r>
    </w:p>
    <w:p>
      <w:r>
        <w:t>The Certified Kubernetes Administrator (CKA) course is a 3.5-day intensive programme that prepares participants for the Linux Foundation CKA certification exam and equips them with the practical skills to deploy, manage, and troubleshoot production-grade Kubernetes clusters. The course follows the official CKA curriculum v1.35 and covers all five exam domains through 31 hands-on labs running on live Kubernetes clusters in the browser.</w:t>
      </w:r>
    </w:p>
    <w:p>
      <w:r>
        <w:t>Participants will install and configure a Kubernetes cluster from scratch using kubeadm, upgrade it to a new version, configure high availability with HAProxy and Keepalived, manage workloads and scheduling, implement network policies, provision persistent storage, and troubleshoot real-world cluster failures -- all under exam-like conditions.</w:t>
      </w:r>
    </w:p>
    <w:p>
      <w:pPr>
        <w:pStyle w:val="Heading1"/>
        <w:spacing w:before="240"/>
      </w:pPr>
      <w:r>
        <w:t>3. Target Audience</w:t>
      </w:r>
    </w:p>
    <w:p>
      <w:r>
        <w:t>This course is designed for:</w:t>
      </w:r>
    </w:p>
    <w:p>
      <w:pPr>
        <w:pStyle w:val="ListBullet"/>
      </w:pPr>
      <w:r>
        <w:t>DevOps engineers and platform engineers deploying applications on Kubernetes</w:t>
      </w:r>
    </w:p>
    <w:p>
      <w:pPr>
        <w:pStyle w:val="ListBullet"/>
      </w:pPr>
      <w:r>
        <w:t>System administrators managing Linux server infrastructure</w:t>
      </w:r>
    </w:p>
    <w:p>
      <w:pPr>
        <w:pStyle w:val="ListBullet"/>
      </w:pPr>
      <w:r>
        <w:t>Cloud architects designing container-based solutions on AWS, GCP, or Azure</w:t>
      </w:r>
    </w:p>
    <w:p>
      <w:pPr>
        <w:pStyle w:val="ListBullet"/>
      </w:pPr>
      <w:r>
        <w:t>Software engineers who need CKA certification for career advancement</w:t>
      </w:r>
    </w:p>
    <w:p>
      <w:pPr>
        <w:pStyle w:val="ListBullet"/>
      </w:pPr>
      <w:r>
        <w:t>IT professionals transitioning from VM-based to container-based infrastructure</w:t>
      </w:r>
    </w:p>
    <w:p>
      <w:pPr>
        <w:pStyle w:val="Heading1"/>
        <w:spacing w:before="240"/>
      </w:pPr>
      <w:r>
        <w:t>4. Admission Criteria</w:t>
      </w:r>
    </w:p>
    <w:p>
      <w:pPr>
        <w:pStyle w:val="Heading2"/>
        <w:spacing w:before="160"/>
      </w:pPr>
      <w:r>
        <w:t>4.1 Entry Requirements</w:t>
      </w:r>
    </w:p>
    <w:p>
      <w:pPr>
        <w:pStyle w:val="ListBullet"/>
      </w:pPr>
      <w:r>
        <w:t>Minimum 1 year of IT work experience in a Linux environment</w:t>
      </w:r>
    </w:p>
    <w:p>
      <w:pPr>
        <w:pStyle w:val="ListBullet"/>
      </w:pPr>
      <w:r>
        <w:t>Comfortable with Linux command line (navigation, file editing, process management)</w:t>
      </w:r>
    </w:p>
    <w:p>
      <w:pPr>
        <w:pStyle w:val="ListBullet"/>
      </w:pPr>
      <w:r>
        <w:t>Basic understanding of networking concepts (IP addressing, DNS, HTTP)</w:t>
      </w:r>
    </w:p>
    <w:p>
      <w:pPr>
        <w:pStyle w:val="ListBullet"/>
      </w:pPr>
      <w:r>
        <w:t>Exposure to Docker or containers is helpful but not required</w:t>
      </w:r>
    </w:p>
    <w:p>
      <w:pPr>
        <w:pStyle w:val="ListBullet"/>
      </w:pPr>
      <w:r>
        <w:t>Minimum age: 21 years old</w:t>
      </w:r>
    </w:p>
    <w:p>
      <w:pPr>
        <w:pStyle w:val="ListBullet"/>
      </w:pPr>
      <w:r>
        <w:t>Minimum qualification: GCE O Level or equivalent</w:t>
      </w:r>
    </w:p>
    <w:p>
      <w:pPr>
        <w:pStyle w:val="Heading2"/>
        <w:spacing w:before="160"/>
      </w:pPr>
      <w:r>
        <w:t>4.2 Recommended Prior Knowledge</w:t>
      </w:r>
    </w:p>
    <w:p>
      <w:pPr>
        <w:pStyle w:val="ListBullet"/>
      </w:pPr>
      <w:r>
        <w:t>Completed a Linux fundamentals course or equivalent self-study</w:t>
      </w:r>
    </w:p>
    <w:p>
      <w:pPr>
        <w:pStyle w:val="ListBullet"/>
      </w:pPr>
      <w:r>
        <w:t>Familiarity with YAML syntax</w:t>
      </w:r>
    </w:p>
    <w:p>
      <w:pPr>
        <w:pStyle w:val="ListBullet"/>
      </w:pPr>
      <w:r>
        <w:t>Basic understanding of how web applications are structured (client-server model)</w:t>
      </w:r>
    </w:p>
    <w:p>
      <w:pPr>
        <w:pStyle w:val="Heading1"/>
        <w:spacing w:before="240"/>
      </w:pPr>
      <w:r>
        <w:t>5. Learning Outcomes</w:t>
      </w:r>
    </w:p>
    <w:p>
      <w:r>
        <w:t>Upon successful completion, participants will be able to:</w:t>
      </w:r>
    </w:p>
    <w:p>
      <w:pPr>
        <w:pStyle w:val="ListBullet"/>
      </w:pPr>
      <w:r>
        <w:t>Install a production-ready Kubernetes cluster using kubeadm on bare-metal Ubuntu nodes</w:t>
      </w:r>
    </w:p>
    <w:p>
      <w:pPr>
        <w:pStyle w:val="ListBullet"/>
      </w:pPr>
      <w:r>
        <w:t>Configure container runtimes (containerd) and CNI plugins (Calico) for cluster networking</w:t>
      </w:r>
    </w:p>
    <w:p>
      <w:pPr>
        <w:pStyle w:val="ListBullet"/>
      </w:pPr>
      <w:r>
        <w:t>Upgrade a Kubernetes cluster with zero-downtime using drain/uncordon procedures</w:t>
      </w:r>
    </w:p>
    <w:p>
      <w:pPr>
        <w:pStyle w:val="ListBullet"/>
      </w:pPr>
      <w:r>
        <w:t>Set up a highly available control plane with HAProxy, Keepalived, and etcd quorum</w:t>
      </w:r>
    </w:p>
    <w:p>
      <w:pPr>
        <w:pStyle w:val="ListBullet"/>
      </w:pPr>
      <w:r>
        <w:t>Manage applications using Deployments, StatefulSets, DaemonSets, and Jobs</w:t>
      </w:r>
    </w:p>
    <w:p>
      <w:pPr>
        <w:pStyle w:val="ListBullet"/>
      </w:pPr>
      <w:r>
        <w:t>Configure and inject application configuration using ConfigMaps and Secrets</w:t>
      </w:r>
    </w:p>
    <w:p>
      <w:pPr>
        <w:pStyle w:val="ListBullet"/>
      </w:pPr>
      <w:r>
        <w:t>Implement RBAC with Roles, ClusterRoles, ServiceAccounts, and RoleBindings</w:t>
      </w:r>
    </w:p>
    <w:p>
      <w:pPr>
        <w:pStyle w:val="ListBullet"/>
      </w:pPr>
      <w:r>
        <w:t>Deploy applications using Helm charts and Kustomize overlays</w:t>
      </w:r>
    </w:p>
    <w:p>
      <w:pPr>
        <w:pStyle w:val="ListBullet"/>
      </w:pPr>
      <w:r>
        <w:t>Implement network connectivity using Services, Ingress, Gateway API, and NetworkPolicy</w:t>
      </w:r>
    </w:p>
    <w:p>
      <w:pPr>
        <w:pStyle w:val="ListBullet"/>
      </w:pPr>
      <w:r>
        <w:t>Provision persistent storage using PersistentVolumes, PVCs, and StorageClasses</w:t>
      </w:r>
    </w:p>
    <w:p>
      <w:pPr>
        <w:pStyle w:val="ListBullet"/>
      </w:pPr>
      <w:r>
        <w:t>Diagnose and fix cluster component failures, node issues, and application errors</w:t>
      </w:r>
    </w:p>
    <w:p>
      <w:pPr>
        <w:pStyle w:val="ListBullet"/>
      </w:pPr>
      <w:r>
        <w:t>Monitor cluster resource usage with kubectl top and interpret cluster events</w:t>
      </w:r>
    </w:p>
    <w:p>
      <w:pPr>
        <w:pStyle w:val="Heading1"/>
        <w:spacing w:before="240"/>
      </w:pPr>
      <w:r>
        <w:t>6. Course Outline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i w:val="0"/>
                <w:color w:val="FFFFFF"/>
                <w:sz w:val="20"/>
              </w:rPr>
              <w:t>Day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i w:val="0"/>
                <w:color w:val="FFFFFF"/>
                <w:sz w:val="20"/>
              </w:rPr>
              <w:t>Domain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i w:val="0"/>
                <w:color w:val="FFFFFF"/>
                <w:sz w:val="20"/>
              </w:rPr>
              <w:t>Labs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i w:val="0"/>
                <w:color w:val="FFFFFF"/>
                <w:sz w:val="20"/>
              </w:rPr>
              <w:t>Key Topics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  <w:sz w:val="20"/>
              </w:rPr>
              <w:t>Day 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  <w:sz w:val="20"/>
              </w:rPr>
              <w:t>Cluster Architecture, Installation &amp; Configuration (25%)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  <w:sz w:val="20"/>
              </w:rPr>
              <w:t>1-8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  <w:sz w:val="20"/>
              </w:rPr>
              <w:t>kubeadm install, containerd CRI, Calico CNI, cluster upgrade, HA control plane, Helm, Kustomize, RBAC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  <w:sz w:val="20"/>
              </w:rPr>
              <w:t>Day 2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  <w:sz w:val="20"/>
              </w:rPr>
              <w:t>Workloads &amp; Scheduling (15%) + Services &amp; Networking start (20%)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  <w:sz w:val="20"/>
              </w:rPr>
              <w:t>9-18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  <w:sz w:val="20"/>
              </w:rPr>
              <w:t>CRDs &amp; Operators, extension interfaces, Deployments, rollouts, ConfigMaps, Secrets, HPA, self-healing, scheduling, pod connectivity, service types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  <w:sz w:val="20"/>
              </w:rPr>
              <w:t>Day 3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  <w:sz w:val="20"/>
              </w:rPr>
              <w:t>Services &amp; Networking (end) + Storage (10%) + Troubleshooting (30%)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  <w:sz w:val="20"/>
              </w:rPr>
              <w:t>19-28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  <w:sz w:val="20"/>
              </w:rPr>
              <w:t>Ingress, Gateway API, NetworkPolicy, CoreDNS, PV/PVC, StorageClass, volume types, troubleshoot components/nodes, application logs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  <w:sz w:val="20"/>
              </w:rPr>
              <w:t>Day 4 AM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  <w:sz w:val="20"/>
              </w:rPr>
              <w:t>Troubleshooting (continued)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  <w:sz w:val="20"/>
              </w:rPr>
              <w:t>29-31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  <w:sz w:val="20"/>
              </w:rPr>
              <w:t>Monitoring, network troubleshooting, RBAC &amp; scheduling failures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  <w:sz w:val="20"/>
              </w:rPr>
              <w:t>Day 4 PM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  <w:sz w:val="20"/>
              </w:rPr>
              <w:t>Mock Exam + Assessment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  <w:sz w:val="20"/>
              </w:rPr>
              <w:t>--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  <w:sz w:val="20"/>
              </w:rPr>
              <w:t>killer.sh mock exam practice, debrief, WSQ practical assessment</w:t>
            </w:r>
          </w:p>
        </w:tc>
      </w:tr>
    </w:tbl>
    <w:p/>
    <w:p>
      <w:pPr>
        <w:pStyle w:val="Heading1"/>
        <w:spacing w:before="240"/>
      </w:pPr>
      <w:r>
        <w:t>7. Assessment</w:t>
      </w:r>
    </w:p>
    <w:p>
      <w:pPr>
        <w:pStyle w:val="Heading2"/>
        <w:spacing w:before="160"/>
      </w:pPr>
      <w:r>
        <w:t>7.1 Formative Assessment (During Training)</w:t>
      </w:r>
    </w:p>
    <w:p>
      <w:pPr>
        <w:pStyle w:val="ListBullet"/>
      </w:pPr>
      <w:r>
        <w:t>Lab exercises after each topic -- pass/fail verified by 'Test it' criteria</w:t>
      </w:r>
    </w:p>
    <w:p>
      <w:pPr>
        <w:pStyle w:val="ListBullet"/>
      </w:pPr>
      <w:r>
        <w:t>Instructor observation and Q&amp;A throughout each day</w:t>
      </w:r>
    </w:p>
    <w:p>
      <w:pPr>
        <w:pStyle w:val="ListBullet"/>
      </w:pPr>
      <w:r>
        <w:t>kubectl auth can-i, kubectl describe, kubectl get events checks after each lab</w:t>
      </w:r>
    </w:p>
    <w:p>
      <w:pPr>
        <w:pStyle w:val="Heading2"/>
        <w:spacing w:before="160"/>
      </w:pPr>
      <w:r>
        <w:t>7.2 Summative Assessment (Day 4 PM)</w:t>
      </w:r>
    </w:p>
    <w:p>
      <w:r>
        <w:t>The WSQ assessment is a 2-hour practical examination conducted on Killercoda. Participants are given a set of Kubernetes cluster tasks to complete under exam conditions. Tasks are aligned to the five CKA exam domains and scored based on successful completion.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  <w:shd w:val="clear" w:color="auto" w:fill="F1F5FB"/>
          </w:tcPr>
          <w:p>
            <w:r/>
            <w:r>
              <w:rPr>
                <w:b/>
                <w:i w:val="0"/>
                <w:color w:val="111827"/>
                <w:sz w:val="20"/>
              </w:rPr>
              <w:t>Format</w:t>
            </w:r>
          </w:p>
        </w:tc>
        <w:tc>
          <w:tcPr>
            <w:tcW w:type="dxa" w:w="6192"/>
          </w:tcPr>
          <w:p>
            <w:r/>
            <w:r>
              <w:rPr>
                <w:b w:val="0"/>
                <w:i w:val="0"/>
                <w:sz w:val="20"/>
              </w:rPr>
              <w:t>Practical hands-on tasks on a live Kubernetes cluster</w:t>
            </w:r>
          </w:p>
        </w:tc>
      </w:tr>
      <w:tr>
        <w:tc>
          <w:tcPr>
            <w:tcW w:type="dxa" w:w="3168"/>
            <w:shd w:val="clear" w:color="auto" w:fill="F1F5FB"/>
          </w:tcPr>
          <w:p>
            <w:r/>
            <w:r>
              <w:rPr>
                <w:b/>
                <w:i w:val="0"/>
                <w:color w:val="111827"/>
                <w:sz w:val="20"/>
              </w:rPr>
              <w:t>Duration</w:t>
            </w:r>
          </w:p>
        </w:tc>
        <w:tc>
          <w:tcPr>
            <w:tcW w:type="dxa" w:w="6192"/>
          </w:tcPr>
          <w:p>
            <w:r/>
            <w:r>
              <w:rPr>
                <w:b w:val="0"/>
                <w:i w:val="0"/>
                <w:sz w:val="20"/>
              </w:rPr>
              <w:t>2 hours</w:t>
            </w:r>
          </w:p>
        </w:tc>
      </w:tr>
      <w:tr>
        <w:tc>
          <w:tcPr>
            <w:tcW w:type="dxa" w:w="3168"/>
            <w:shd w:val="clear" w:color="auto" w:fill="F1F5FB"/>
          </w:tcPr>
          <w:p>
            <w:r/>
            <w:r>
              <w:rPr>
                <w:b/>
                <w:i w:val="0"/>
                <w:color w:val="111827"/>
                <w:sz w:val="20"/>
              </w:rPr>
              <w:t>Pass Mark</w:t>
            </w:r>
          </w:p>
        </w:tc>
        <w:tc>
          <w:tcPr>
            <w:tcW w:type="dxa" w:w="6192"/>
          </w:tcPr>
          <w:p>
            <w:r/>
            <w:r>
              <w:rPr>
                <w:b w:val="0"/>
                <w:i w:val="0"/>
                <w:sz w:val="20"/>
              </w:rPr>
              <w:t>66% (aligned with CNCF CKA exam passing score)</w:t>
            </w:r>
          </w:p>
        </w:tc>
      </w:tr>
      <w:tr>
        <w:tc>
          <w:tcPr>
            <w:tcW w:type="dxa" w:w="3168"/>
            <w:shd w:val="clear" w:color="auto" w:fill="F1F5FB"/>
          </w:tcPr>
          <w:p>
            <w:r/>
            <w:r>
              <w:rPr>
                <w:b/>
                <w:i w:val="0"/>
                <w:color w:val="111827"/>
                <w:sz w:val="20"/>
              </w:rPr>
              <w:t>Tools Allowed</w:t>
            </w:r>
          </w:p>
        </w:tc>
        <w:tc>
          <w:tcPr>
            <w:tcW w:type="dxa" w:w="6192"/>
          </w:tcPr>
          <w:p>
            <w:r/>
            <w:r>
              <w:rPr>
                <w:b w:val="0"/>
                <w:i w:val="0"/>
                <w:sz w:val="20"/>
              </w:rPr>
              <w:t>kubectl, kubeadm, Helm, Kustomize, kubernetes.io/docs, helm.sh/docs</w:t>
            </w:r>
          </w:p>
        </w:tc>
      </w:tr>
      <w:tr>
        <w:tc>
          <w:tcPr>
            <w:tcW w:type="dxa" w:w="3168"/>
            <w:shd w:val="clear" w:color="auto" w:fill="F1F5FB"/>
          </w:tcPr>
          <w:p>
            <w:r/>
            <w:r>
              <w:rPr>
                <w:b/>
                <w:i w:val="0"/>
                <w:color w:val="111827"/>
                <w:sz w:val="20"/>
              </w:rPr>
              <w:t>Result</w:t>
            </w:r>
          </w:p>
        </w:tc>
        <w:tc>
          <w:tcPr>
            <w:tcW w:type="dxa" w:w="6192"/>
          </w:tcPr>
          <w:p>
            <w:r/>
            <w:r>
              <w:rPr>
                <w:b w:val="0"/>
                <w:i w:val="0"/>
                <w:sz w:val="20"/>
              </w:rPr>
              <w:t>Competent (C) or Not Yet Competent (NYC)</w:t>
            </w:r>
          </w:p>
        </w:tc>
      </w:tr>
    </w:tbl>
    <w:p/>
    <w:p>
      <w:pPr>
        <w:pStyle w:val="Heading2"/>
        <w:spacing w:before="160"/>
      </w:pPr>
      <w:r>
        <w:t>7.3 Re-Assessment</w:t>
      </w:r>
    </w:p>
    <w:p>
      <w:r>
        <w:t>Participants who receive 'Not Yet Competent' may request one re-assessment within 30 days at no additional cost. Additional re-assessments may incur fees.</w:t>
      </w:r>
    </w:p>
    <w:p>
      <w:pPr>
        <w:pStyle w:val="Heading1"/>
        <w:spacing w:before="240"/>
      </w:pPr>
      <w:r>
        <w:t>8. Certifications Awarded</w:t>
      </w:r>
    </w:p>
    <w:p>
      <w:pPr>
        <w:pStyle w:val="ListBullet"/>
      </w:pPr>
      <w:r>
        <w:t>WSQ Statement of Attainment (SOA) -- issued upon Competent assessment result</w:t>
      </w:r>
    </w:p>
    <w:p>
      <w:pPr>
        <w:pStyle w:val="ListBullet"/>
      </w:pPr>
      <w:r>
        <w:t>Certificate of Completion -- issued to all participants who complete training</w:t>
      </w:r>
    </w:p>
    <w:p>
      <w:pPr>
        <w:pStyle w:val="ListBullet"/>
      </w:pPr>
      <w:r>
        <w:t>The CKA certification from CNCF/Linux Foundation must be attempted separately at linuxfoundation.org (not included in course fee but exam vouchers may be available)</w:t>
      </w:r>
    </w:p>
    <w:p>
      <w:pPr>
        <w:pStyle w:val="Heading1"/>
        <w:spacing w:before="240"/>
      </w:pPr>
      <w:r>
        <w:t>9. Administrative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  <w:shd w:val="clear" w:color="auto" w:fill="F1F5FB"/>
          </w:tcPr>
          <w:p>
            <w:r/>
            <w:r>
              <w:rPr>
                <w:b/>
                <w:i w:val="0"/>
                <w:color w:val="111827"/>
                <w:sz w:val="20"/>
              </w:rPr>
              <w:t>Class Size</w:t>
            </w:r>
          </w:p>
        </w:tc>
        <w:tc>
          <w:tcPr>
            <w:tcW w:type="dxa" w:w="6192"/>
          </w:tcPr>
          <w:p>
            <w:r/>
            <w:r>
              <w:rPr>
                <w:b w:val="0"/>
                <w:i w:val="0"/>
                <w:sz w:val="20"/>
              </w:rPr>
              <w:t>Maximum 20 participants per class</w:t>
            </w:r>
          </w:p>
        </w:tc>
      </w:tr>
      <w:tr>
        <w:tc>
          <w:tcPr>
            <w:tcW w:type="dxa" w:w="3168"/>
            <w:shd w:val="clear" w:color="auto" w:fill="F1F5FB"/>
          </w:tcPr>
          <w:p>
            <w:r/>
            <w:r>
              <w:rPr>
                <w:b/>
                <w:i w:val="0"/>
                <w:color w:val="111827"/>
                <w:sz w:val="20"/>
              </w:rPr>
              <w:t>Laptop</w:t>
            </w:r>
          </w:p>
        </w:tc>
        <w:tc>
          <w:tcPr>
            <w:tcW w:type="dxa" w:w="6192"/>
          </w:tcPr>
          <w:p>
            <w:r/>
            <w:r>
              <w:rPr>
                <w:b w:val="0"/>
                <w:i w:val="0"/>
                <w:sz w:val="20"/>
              </w:rPr>
              <w:t>Participants must bring their own laptop (Windows/Mac/Linux)</w:t>
            </w:r>
          </w:p>
        </w:tc>
      </w:tr>
      <w:tr>
        <w:tc>
          <w:tcPr>
            <w:tcW w:type="dxa" w:w="3168"/>
            <w:shd w:val="clear" w:color="auto" w:fill="F1F5FB"/>
          </w:tcPr>
          <w:p>
            <w:r/>
            <w:r>
              <w:rPr>
                <w:b/>
                <w:i w:val="0"/>
                <w:color w:val="111827"/>
                <w:sz w:val="20"/>
              </w:rPr>
              <w:t>Browser</w:t>
            </w:r>
          </w:p>
        </w:tc>
        <w:tc>
          <w:tcPr>
            <w:tcW w:type="dxa" w:w="6192"/>
          </w:tcPr>
          <w:p>
            <w:r/>
            <w:r>
              <w:rPr>
                <w:b w:val="0"/>
                <w:i w:val="0"/>
                <w:sz w:val="20"/>
              </w:rPr>
              <w:t>Google Chrome or Firefox (for Killercoda)</w:t>
            </w:r>
          </w:p>
        </w:tc>
      </w:tr>
      <w:tr>
        <w:tc>
          <w:tcPr>
            <w:tcW w:type="dxa" w:w="3168"/>
            <w:shd w:val="clear" w:color="auto" w:fill="F1F5FB"/>
          </w:tcPr>
          <w:p>
            <w:r/>
            <w:r>
              <w:rPr>
                <w:b/>
                <w:i w:val="0"/>
                <w:color w:val="111827"/>
                <w:sz w:val="20"/>
              </w:rPr>
              <w:t>Dress Code</w:t>
            </w:r>
          </w:p>
        </w:tc>
        <w:tc>
          <w:tcPr>
            <w:tcW w:type="dxa" w:w="6192"/>
          </w:tcPr>
          <w:p>
            <w:r/>
            <w:r>
              <w:rPr>
                <w:b w:val="0"/>
                <w:i w:val="0"/>
                <w:sz w:val="20"/>
              </w:rPr>
              <w:t>Smart casual</w:t>
            </w:r>
          </w:p>
        </w:tc>
      </w:tr>
      <w:tr>
        <w:tc>
          <w:tcPr>
            <w:tcW w:type="dxa" w:w="3168"/>
            <w:shd w:val="clear" w:color="auto" w:fill="F1F5FB"/>
          </w:tcPr>
          <w:p>
            <w:r/>
            <w:r>
              <w:rPr>
                <w:b/>
                <w:i w:val="0"/>
                <w:color w:val="111827"/>
                <w:sz w:val="20"/>
              </w:rPr>
              <w:t>Catering</w:t>
            </w:r>
          </w:p>
        </w:tc>
        <w:tc>
          <w:tcPr>
            <w:tcW w:type="dxa" w:w="6192"/>
          </w:tcPr>
          <w:p>
            <w:r/>
            <w:r>
              <w:rPr>
                <w:b w:val="0"/>
                <w:i w:val="0"/>
                <w:sz w:val="20"/>
              </w:rPr>
              <w:t>Lunch and tea breaks provided</w:t>
            </w:r>
          </w:p>
        </w:tc>
      </w:tr>
      <w:tr>
        <w:tc>
          <w:tcPr>
            <w:tcW w:type="dxa" w:w="3168"/>
            <w:shd w:val="clear" w:color="auto" w:fill="F1F5FB"/>
          </w:tcPr>
          <w:p>
            <w:r/>
            <w:r>
              <w:rPr>
                <w:b/>
                <w:i w:val="0"/>
                <w:color w:val="111827"/>
                <w:sz w:val="20"/>
              </w:rPr>
              <w:t>Course Fees</w:t>
            </w:r>
          </w:p>
        </w:tc>
        <w:tc>
          <w:tcPr>
            <w:tcW w:type="dxa" w:w="6192"/>
          </w:tcPr>
          <w:p>
            <w:r/>
            <w:r>
              <w:rPr>
                <w:b w:val="0"/>
                <w:i w:val="0"/>
                <w:sz w:val="20"/>
              </w:rPr>
              <w:t>Contact Tertiary Infotech Academy for current subsidised rates</w:t>
            </w:r>
          </w:p>
        </w:tc>
      </w:tr>
      <w:tr>
        <w:tc>
          <w:tcPr>
            <w:tcW w:type="dxa" w:w="3168"/>
            <w:shd w:val="clear" w:color="auto" w:fill="F1F5FB"/>
          </w:tcPr>
          <w:p>
            <w:r/>
            <w:r>
              <w:rPr>
                <w:b/>
                <w:i w:val="0"/>
                <w:color w:val="111827"/>
                <w:sz w:val="20"/>
              </w:rPr>
              <w:t>SkillsFuture Credit</w:t>
            </w:r>
          </w:p>
        </w:tc>
        <w:tc>
          <w:tcPr>
            <w:tcW w:type="dxa" w:w="6192"/>
          </w:tcPr>
          <w:p>
            <w:r/>
            <w:r>
              <w:rPr>
                <w:b w:val="0"/>
                <w:i w:val="0"/>
                <w:sz w:val="20"/>
              </w:rPr>
              <w:t>Eligible for SkillsFuture Credit (Singapore citizens aged 25+)</w:t>
            </w:r>
          </w:p>
        </w:tc>
      </w:tr>
      <w:tr>
        <w:tc>
          <w:tcPr>
            <w:tcW w:type="dxa" w:w="3168"/>
            <w:shd w:val="clear" w:color="auto" w:fill="F1F5FB"/>
          </w:tcPr>
          <w:p>
            <w:r/>
            <w:r>
              <w:rPr>
                <w:b/>
                <w:i w:val="0"/>
                <w:color w:val="111827"/>
                <w:sz w:val="20"/>
              </w:rPr>
              <w:t>Absenteeism</w:t>
            </w:r>
          </w:p>
        </w:tc>
        <w:tc>
          <w:tcPr>
            <w:tcW w:type="dxa" w:w="6192"/>
          </w:tcPr>
          <w:p>
            <w:r/>
            <w:r>
              <w:rPr>
                <w:b w:val="0"/>
                <w:i w:val="0"/>
                <w:sz w:val="20"/>
              </w:rPr>
              <w:t>Minimum 75% attendance required to qualify for assessment and SOA</w:t>
            </w:r>
          </w:p>
        </w:tc>
      </w:tr>
      <w:tr>
        <w:tc>
          <w:tcPr>
            <w:tcW w:type="dxa" w:w="3168"/>
            <w:shd w:val="clear" w:color="auto" w:fill="F1F5FB"/>
          </w:tcPr>
          <w:p>
            <w:r/>
            <w:r>
              <w:rPr>
                <w:b/>
                <w:i w:val="0"/>
                <w:color w:val="111827"/>
                <w:sz w:val="20"/>
              </w:rPr>
              <w:t>Contact</w:t>
            </w:r>
          </w:p>
        </w:tc>
        <w:tc>
          <w:tcPr>
            <w:tcW w:type="dxa" w:w="6192"/>
          </w:tcPr>
          <w:p>
            <w:r/>
            <w:r>
              <w:rPr>
                <w:b w:val="0"/>
                <w:i w:val="0"/>
                <w:sz w:val="20"/>
              </w:rPr>
              <w:t>admin@tertiarycourses.com.sg  |  www.tertiarycourses.com.sg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