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80"/>
        <w:jc w:val="center"/>
      </w:pPr>
      <w:r>
        <w:rPr>
          <w:rFonts w:ascii="Arial" w:hAnsi="Arial"/>
          <w:b w:val="0"/>
          <w:color w:val="111827"/>
          <w:sz w:val="2"/>
        </w:rPr>
      </w:r>
    </w:p>
    <w:p>
      <w:pPr>
        <w:spacing w:before="0" w:after="40"/>
        <w:jc w:val="center"/>
      </w:pPr>
      <w:r>
        <w:rPr>
          <w:rFonts w:ascii="Arial" w:hAnsi="Arial"/>
          <w:b/>
          <w:color w:val="111827"/>
          <w:sz w:val="30"/>
        </w:rPr>
        <w:t>Tertiary Infotech Academy Pte Ltd</w:t>
      </w:r>
    </w:p>
    <w:p>
      <w:pPr>
        <w:spacing w:before="0" w:after="480"/>
        <w:jc w:val="center"/>
      </w:pPr>
      <w:r>
        <w:rPr>
          <w:rFonts w:ascii="Arial" w:hAnsi="Arial"/>
          <w:b w:val="0"/>
          <w:color w:val="525B6B"/>
          <w:sz w:val="22"/>
        </w:rPr>
        <w:t>UEN: 201200696W</w:t>
      </w:r>
    </w:p>
    <w:p>
      <w:pPr>
        <w:spacing w:before="0" w:after="240"/>
        <w:jc w:val="center"/>
      </w:pPr>
      <w:r>
        <w:rPr>
          <w:rFonts w:ascii="Arial" w:hAnsi="Arial"/>
          <w:b/>
          <w:color w:val="2563EB"/>
          <w:sz w:val="60"/>
        </w:rPr>
        <w:t>LEARNER GUIDE</w:t>
      </w:r>
    </w:p>
    <w:p>
      <w:pPr>
        <w:spacing w:before="0" w:after="200"/>
        <w:jc w:val="center"/>
      </w:pPr>
      <w:r>
        <w:rPr>
          <w:rFonts w:ascii="Arial" w:hAnsi="Arial"/>
          <w:b w:val="0"/>
          <w:color w:val="525B6B"/>
          <w:sz w:val="24"/>
        </w:rPr>
        <w:t>For</w:t>
      </w:r>
    </w:p>
    <w:p>
      <w:pPr>
        <w:spacing w:before="0" w:after="200"/>
        <w:jc w:val="center"/>
      </w:pPr>
      <w:r>
        <w:rPr>
          <w:rFonts w:ascii="Arial" w:hAnsi="Arial"/>
          <w:b/>
          <w:color w:val="111827"/>
          <w:sz w:val="44"/>
        </w:rPr>
        <w:t>Certified Kubernetes Administrator (CKA) Training</w:t>
      </w:r>
    </w:p>
    <w:p>
      <w:pPr>
        <w:spacing w:before="0" w:after="560"/>
        <w:jc w:val="center"/>
      </w:pPr>
      <w:r>
        <w:rPr>
          <w:rFonts w:ascii="Arial" w:hAnsi="Arial"/>
          <w:b w:val="0"/>
          <w:color w:val="111827"/>
          <w:sz w:val="26"/>
        </w:rPr>
        <w:t>TGS Ref No: TGS-2025054612</w:t>
      </w:r>
    </w:p>
    <w:p>
      <w:pPr>
        <w:spacing w:before="0" w:after="80"/>
        <w:jc w:val="center"/>
      </w:pPr>
      <w:r>
        <w:rPr>
          <w:rFonts w:ascii="Arial" w:hAnsi="Arial"/>
          <w:b w:val="0"/>
          <w:color w:val="525B6B"/>
          <w:sz w:val="22"/>
        </w:rPr>
        <w:t>Conducted by</w:t>
      </w:r>
    </w:p>
    <w:p>
      <w:pPr>
        <w:spacing w:before="0" w:after="40"/>
        <w:jc w:val="center"/>
      </w:pPr>
      <w:r>
        <w:rPr>
          <w:rFonts w:ascii="Arial" w:hAnsi="Arial"/>
          <w:b/>
          <w:color w:val="111827"/>
          <w:sz w:val="28"/>
        </w:rPr>
        <w:t>Tertiary Infotech Academy Pte Ltd</w:t>
      </w:r>
    </w:p>
    <w:p>
      <w:pPr>
        <w:spacing w:before="0" w:after="360"/>
        <w:jc w:val="center"/>
      </w:pPr>
      <w:r>
        <w:rPr>
          <w:rFonts w:ascii="Arial" w:hAnsi="Arial"/>
          <w:b w:val="0"/>
          <w:color w:val="525B6B"/>
          <w:sz w:val="22"/>
        </w:rPr>
        <w:t>UEN: 201200696W</w:t>
      </w:r>
    </w:p>
    <w:p>
      <w:pPr>
        <w:spacing w:before="0" w:after="0"/>
        <w:jc w:val="center"/>
      </w:pPr>
      <w:r>
        <w:rPr>
          <w:rFonts w:ascii="Arial" w:hAnsi="Arial"/>
          <w:b/>
          <w:color w:val="2563EB"/>
          <w:sz w:val="26"/>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step-by-step guide to all 31 CKA labs across five domains (Cluster Architecture &amp; Installation, Workloads &amp; Scheduling, Services &amp; Networking, Storage, Troubleshooting); MD and DOCX generated from one source</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pPr/>
      <w:r/>
    </w:p>
    <w:p>
      <w:r>
        <w:t>This Learner Guide accompanies the WSQ Certified Kubernetes Administrator (CKA) course (TGS-2025054612). It contains step-by-step lab instructions for all 31 hands-on labs covering the five CKA exam domains. Labs run in the browser on Killercoda — no local installation required.</w:t>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c>
          <w:tcPr>
            <w:tcW w:type="dxa" w:w="2880"/>
          </w:tcPr>
          <w:p>
            <w:r/>
            <w:r>
              <w:rPr>
                <w:sz w:val="20"/>
              </w:rPr>
              <w:t>Worker Node</w:t>
            </w:r>
          </w:p>
        </w:tc>
        <w:tc>
          <w:tcPr>
            <w:tcW w:type="dxa" w:w="6480"/>
          </w:tcPr>
          <w:p>
            <w:r/>
            <w:r>
              <w:rPr>
                <w:sz w:val="20"/>
              </w:rPr>
              <w:t>A machine (VM or bare-metal) that runs Pods; managed by kubelet and kube-proxy.</w:t>
            </w:r>
          </w:p>
        </w:tc>
      </w:tr>
      <w:t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c>
          <w:tcPr>
            <w:tcW w:type="dxa" w:w="2880"/>
          </w:tcPr>
          <w:p>
            <w:r/>
            <w:r>
              <w:rPr>
                <w:sz w:val="20"/>
              </w:rPr>
              <w:t>kubelet</w:t>
            </w:r>
          </w:p>
        </w:tc>
        <w:tc>
          <w:tcPr>
            <w:tcW w:type="dxa" w:w="6480"/>
          </w:tcPr>
          <w:p>
            <w:r/>
            <w:r>
              <w:rPr>
                <w:sz w:val="20"/>
              </w:rPr>
              <w:t>The node agent — watches the API server for Pods assigned to this node and starts/stops containers.</w:t>
            </w:r>
          </w:p>
        </w:tc>
      </w:tr>
      <w:t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c>
          <w:tcPr>
            <w:tcW w:type="dxa" w:w="2880"/>
          </w:tcPr>
          <w:p>
            <w:r/>
            <w:r>
              <w:rPr>
                <w:sz w:val="20"/>
              </w:rPr>
              <w:t>Deployment</w:t>
            </w:r>
          </w:p>
        </w:tc>
        <w:tc>
          <w:tcPr>
            <w:tcW w:type="dxa" w:w="6480"/>
          </w:tcPr>
          <w:p>
            <w:r/>
            <w:r>
              <w:rPr>
                <w:sz w:val="20"/>
              </w:rPr>
              <w:t>Manages a desired number of Pod replicas; handles rolling updates, rollbacks and self-healing.</w:t>
            </w:r>
          </w:p>
        </w:tc>
      </w:tr>
      <w:tr>
        <w:tc>
          <w:tcPr>
            <w:tcW w:type="dxa" w:w="2880"/>
          </w:tcPr>
          <w:p>
            <w:r/>
            <w:r>
              <w:rPr>
                <w:sz w:val="20"/>
              </w:rPr>
              <w:t>ReplicaSet</w:t>
            </w:r>
          </w:p>
        </w:tc>
        <w:tc>
          <w:tcPr>
            <w:tcW w:type="dxa" w:w="6480"/>
          </w:tcPr>
          <w:p>
            <w:r/>
            <w:r>
              <w:rPr>
                <w:sz w:val="20"/>
              </w:rPr>
              <w:t>The low-level object a Deployment creates to maintain the correct Pod count.</w:t>
            </w:r>
          </w:p>
        </w:tc>
      </w:tr>
      <w:t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c>
          <w:tcPr>
            <w:tcW w:type="dxa" w:w="2880"/>
          </w:tcPr>
          <w:p>
            <w:r/>
            <w:r>
              <w:rPr>
                <w:sz w:val="20"/>
              </w:rPr>
              <w:t>Service (NodePort)</w:t>
            </w:r>
          </w:p>
        </w:tc>
        <w:tc>
          <w:tcPr>
            <w:tcW w:type="dxa" w:w="6480"/>
          </w:tcPr>
          <w:p>
            <w:r/>
            <w:r>
              <w:rPr>
                <w:sz w:val="20"/>
              </w:rPr>
              <w:t>Opens a port (30000–32767) on every node to expose Pods outside the cluster.</w:t>
            </w:r>
          </w:p>
        </w:tc>
      </w:tr>
      <w:t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c>
          <w:tcPr>
            <w:tcW w:type="dxa" w:w="2880"/>
          </w:tcPr>
          <w:p>
            <w:r/>
            <w:r>
              <w:rPr>
                <w:sz w:val="20"/>
              </w:rPr>
              <w:t>NetworkPolicy</w:t>
            </w:r>
          </w:p>
        </w:tc>
        <w:tc>
          <w:tcPr>
            <w:tcW w:type="dxa" w:w="6480"/>
          </w:tcPr>
          <w:p>
            <w:r/>
            <w:r>
              <w:rPr>
                <w:sz w:val="20"/>
              </w:rPr>
              <w:t>Allow-list firewall for Pod-to-Pod and Pod-to-external traffic; default is fully open.</w:t>
            </w:r>
          </w:p>
        </w:tc>
      </w:tr>
      <w:t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c>
          <w:tcPr>
            <w:tcW w:type="dxa" w:w="2880"/>
          </w:tcPr>
          <w:p>
            <w:r/>
            <w:r>
              <w:rPr>
                <w:sz w:val="20"/>
              </w:rPr>
              <w:t>ConfigMap</w:t>
            </w:r>
          </w:p>
        </w:tc>
        <w:tc>
          <w:tcPr>
            <w:tcW w:type="dxa" w:w="6480"/>
          </w:tcPr>
          <w:p>
            <w:r/>
            <w:r>
              <w:rPr>
                <w:sz w:val="20"/>
              </w:rPr>
              <w:t>Non-secret key/value data injected into Pods via env vars or volume mounts.</w:t>
            </w:r>
          </w:p>
        </w:tc>
      </w:tr>
      <w:t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c>
          <w:tcPr>
            <w:tcW w:type="dxa" w:w="2880"/>
          </w:tcPr>
          <w:p>
            <w:r/>
            <w:r>
              <w:rPr>
                <w:sz w:val="20"/>
              </w:rPr>
              <w:t>PersistentVolumeClaim (PVC)</w:t>
            </w:r>
          </w:p>
        </w:tc>
        <w:tc>
          <w:tcPr>
            <w:tcW w:type="dxa" w:w="6480"/>
          </w:tcPr>
          <w:p>
            <w:r/>
            <w:r>
              <w:rPr>
                <w:sz w:val="20"/>
              </w:rPr>
              <w:t>A namespaced request for storage; binds to a matching PV.</w:t>
            </w:r>
          </w:p>
        </w:tc>
      </w:tr>
      <w:tr>
        <w:tc>
          <w:tcPr>
            <w:tcW w:type="dxa" w:w="2880"/>
          </w:tcPr>
          <w:p>
            <w:r/>
            <w:r>
              <w:rPr>
                <w:sz w:val="20"/>
              </w:rPr>
              <w:t>StorageClass</w:t>
            </w:r>
          </w:p>
        </w:tc>
        <w:tc>
          <w:tcPr>
            <w:tcW w:type="dxa" w:w="6480"/>
          </w:tcPr>
          <w:p>
            <w:r/>
            <w:r>
              <w:rPr>
                <w:sz w:val="20"/>
              </w:rPr>
              <w:t>Defines a CSI provisioner and parameters for dynamic PV creation on demand.</w:t>
            </w:r>
          </w:p>
        </w:tc>
      </w:tr>
      <w:tr>
        <w:tc>
          <w:tcPr>
            <w:tcW w:type="dxa" w:w="2880"/>
          </w:tcPr>
          <w:p>
            <w:r/>
            <w:r>
              <w:rPr>
                <w:sz w:val="20"/>
              </w:rPr>
              <w:t>Helm</w:t>
            </w:r>
          </w:p>
        </w:tc>
        <w:tc>
          <w:tcPr>
            <w:tcW w:type="dxa" w:w="6480"/>
          </w:tcPr>
          <w:p>
            <w:r/>
            <w:r>
              <w:rPr>
                <w:sz w:val="20"/>
              </w:rPr>
              <w:t>The Kubernetes package manager — installs and upgrades applications from versioned charts.</w:t>
            </w:r>
          </w:p>
        </w:tc>
      </w:tr>
      <w:tr>
        <w:tc>
          <w:tcPr>
            <w:tcW w:type="dxa" w:w="2880"/>
          </w:tcPr>
          <w:p>
            <w:r/>
            <w:r>
              <w:rPr>
                <w:sz w:val="20"/>
              </w:rPr>
              <w:t>Kustomize</w:t>
            </w:r>
          </w:p>
        </w:tc>
        <w:tc>
          <w:tcPr>
            <w:tcW w:type="dxa" w:w="6480"/>
          </w:tcPr>
          <w:p>
            <w:r/>
            <w:r>
              <w:rPr>
                <w:sz w:val="20"/>
              </w:rPr>
              <w:t>Layer YAML overlays on a base without templating; built into `kubectl apply -k`.</w:t>
            </w:r>
          </w:p>
        </w:tc>
      </w:tr>
      <w:t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c>
          <w:tcPr>
            <w:tcW w:type="dxa" w:w="2880"/>
          </w:tcPr>
          <w:p>
            <w:r/>
            <w:r>
              <w:rPr>
                <w:sz w:val="20"/>
              </w:rPr>
              <w:t>RoleBinding / ClusterRoleBinding</w:t>
            </w:r>
          </w:p>
        </w:tc>
        <w:tc>
          <w:tcPr>
            <w:tcW w:type="dxa" w:w="6480"/>
          </w:tcPr>
          <w:p>
            <w:r/>
            <w:r>
              <w:rPr>
                <w:sz w:val="20"/>
              </w:rPr>
              <w:t>Attaches a Role or ClusterRole to a subject (ServiceAccount, user or group).</w:t>
            </w:r>
          </w:p>
        </w:tc>
      </w:tr>
      <w:tr>
        <w:tc>
          <w:tcPr>
            <w:tcW w:type="dxa" w:w="2880"/>
          </w:tcPr>
          <w:p>
            <w:r/>
            <w:r>
              <w:rPr>
                <w:sz w:val="20"/>
              </w:rPr>
              <w:t>Taint / Toleration</w:t>
            </w:r>
          </w:p>
        </w:tc>
        <w:tc>
          <w:tcPr>
            <w:tcW w:type="dxa" w:w="6480"/>
          </w:tcPr>
          <w:p>
            <w:r/>
            <w:r>
              <w:rPr>
                <w:sz w:val="20"/>
              </w:rPr>
              <w:t>Taints on nodes repel Pods that don't have a matching toleration in their spec.</w:t>
            </w:r>
          </w:p>
        </w:tc>
      </w:tr>
      <w:t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c>
          <w:tcPr>
            <w:tcW w:type="dxa" w:w="2880"/>
          </w:tcPr>
          <w:p>
            <w:r/>
            <w:r>
              <w:rPr>
                <w:sz w:val="20"/>
              </w:rPr>
              <w:t>etcdctl</w:t>
            </w:r>
          </w:p>
        </w:tc>
        <w:tc>
          <w:tcPr>
            <w:tcW w:type="dxa" w:w="6480"/>
          </w:tcPr>
          <w:p>
            <w:r/>
            <w:r>
              <w:rPr>
                <w:sz w:val="20"/>
              </w:rPr>
              <w:t>The CLI for backing up (`snapshot save`) and restoring (`snapshot restore`) the etcd data store.</w:t>
            </w:r>
          </w:p>
        </w:tc>
      </w:tr>
      <w:t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