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ISO 14064-1:2018 Greenhouse Gas (GHG) Emissions and Removals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TGS-2025055502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trainer 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Complete source-aligned visual rebuild; expanded ISO 14064-1 inventory, risk, reduction, renewable-energy and offset content; ten connected activities and aligned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ISO 14064-1 inventory design, boundaries, quantification, reporting and risk controls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Value-chain reduction, renewable energy, offsets and integrated carbon strategy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and Competency Map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ISO 14064-1:2018 Greenhouse Gas (GHG) Emissions and Removals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TGS-2025055502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TSC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Greenhouse Gas Accounting · ACC-ADV-0002-1.1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2 days · 16 training hours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9:00 am-6:00 pm; 60-minute lunch; two 10-minute breaks within training time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Assessment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Day 2, 4:00-6:00 pm · WA 1 hour + Case Study 1 hour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Innovate organisational GHG accounting systems using current climate science, ISO 14064-1 principles and broader sustainability initiatives.</w:t>
      </w:r>
    </w:p>
    <w:p>
      <w:pPr>
        <w:pStyle w:val="ListBullet"/>
      </w:pPr>
      <w:r>
        <w:t>LO2: Develop risk-informed GHG management plans that meet relevant reporting and regulatory requirements and support mitigation decisions.</w:t>
      </w:r>
    </w:p>
    <w:p>
      <w:pPr>
        <w:pStyle w:val="ListBullet"/>
      </w:pPr>
      <w:r>
        <w:t>LO3: Develop operational emissions-reduction strategies across product lifecycles, value chains, supply chains and renewable-energy options.</w:t>
      </w:r>
    </w:p>
    <w:p>
      <w:pPr>
        <w:pStyle w:val="ListBullet"/>
      </w:pPr>
      <w:r>
        <w:t>LO4: Generate economically viable carbon-offset and carbon-credit strategies aligned with organisational targets and residual-emissions needs.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ISO 14064-1 inventory design, boundaries, quantification, reporting and risk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9:00-9:30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Digital attendance, course orientation, introductions, learning outcomes and assessment briefing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1-19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briefing and learner introduction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9:30-10:30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GHG science, ISO 14064 family, principles, boundaries and inventory purpose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20-34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presentation and worked examples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10:40-11:40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 — Set the GHG Inventory Purpose and Boundaries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35-37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Group case study and workbook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11:40-13:00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2 — Build a Significant GHG Source and Sink Register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38-40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Source classification and significance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14:00-15:15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3 — Quantify a Base-Year Inventory and Reporting Guide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41-44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Calculation, reconciliation and peer check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15:15-15:30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Reporting, inventory review, governance and GHG risk controls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45-57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defect analysis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15:30-15:40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15:40-16:55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4 — Review a GHG Inventory and Resolve Quality Findings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58-60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Evidence review and finding calibration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16:55-17:45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5 — Build a GHG Governance, Compliance and Risk Plan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61-63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Risk, control and governance design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17:45-18:00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recap, Q&amp;A and PM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64-65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Retrieval practice and reflection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r>
        <w:br w:type="page"/>
      </w:r>
    </w:p>
    <w:p>
      <w:pPr>
        <w:pStyle w:val="Heading2"/>
      </w:pPr>
      <w:r>
        <w:t>Day 2 — Value-chain reduction, renewable energy, offsets and integrated carbon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9:00-9:15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retrieval practice and AM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 65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recap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9:15-10:05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Hotspots, lifecycle thinking, supplier data, targets and reduction hierarchy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66-78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worked examples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10:05-10:30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6 — Diagnose Hotspots and Set a Reduction Baseline (part 1)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79-81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Hotspot and lifecycle analysis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10:40-11:05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6 — Diagnose Hotspots and Set a Reduction Baseline (part 2)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79-81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Opportunity prioritisation and acceptance check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11:05-12:05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7 — Design a Supplier and Product Reduction Roadmap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82-84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Supplier segmentation and roadmap design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12:05-13:00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8 — Develop a Renewable-Energy Business Case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85-88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Scenario modelling and recommendation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14:00-14:30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Residual emissions, offset integrity, economics, claims and credit portfolios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89-101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presentation and decision cases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14:30-15:20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9 — Evaluate Carbon Offset Projects and Economics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102-104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Due diligence and risk-adjusted economics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15:30-16:00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10 — Integrate the Organisational Carbon Strategy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105-108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Capstone strategy and board decision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16:00-17:00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Written Assessment (WA-SAQ): 9 questions covering K1-K9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109-114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17:00-18:00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Case Study Assessment: 4 questions covering A1-A8; assessment attendance and submission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114-116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r>
        <w:br w:type="page"/>
      </w:r>
    </w:p>
    <w:p>
      <w:pPr>
        <w:pStyle w:val="Heading1"/>
      </w:pPr>
      <w:r>
        <w:t>Activity and Competency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Alignment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Evidence/output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Set the GHG Inventory Purpose and Boundaries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K2 · K5 · A3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Inventory purpose statement; Organisational boundary diagram; Consolidation decision log; Peer-review record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Build a Significant GHG Source and Sink Register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K5 · A3 · A7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Completed source/sink register; Significance criteria and scores; Inclusion/exclusion log; Data-owner matrix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Quantify a Base-Year Inventory and Reporting Guide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K2 · K5 · A3 · A7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Quantified inventory workbook; Factor and GWP register; Uncertainty improvement log; Base-year and reporting guideline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a GHG Inventory and Resolve Quality Findings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K5 · K6 · A4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plan and sample log; Finding register; Corrected report disclosures; Management approval brief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Build a GHG Governance, Compliance and Risk Plan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K6 · K7 · A4 · A8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Compliance register; GHG governance RACI; Risk and control register; Monitoring dashboard and escalation protocol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Diagnose Hotspots and Set a Reduction Baseline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K3 · A1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Hotspot dashboard; Lifecycle map; Baseline and intensity statement; Prioritised opportunity shortlist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Design a Supplier and Product Reduction Roadmap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K3 · K9 · A1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Supplier segmentation and data ladder; Quantified initiative cards; 24-month roadmap; KPI and governance plan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Develop a Renewable-Energy Business Case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K4 · A6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Renewable-energy scenario model; Option scorecard; Sensitivity analysis; Executive recommendation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Evaluate Carbon Offset Projects and Economics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K8 · K9 · A2 · LO4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Due-diligence register; Quality scorecard; Risk-adjusted cost model; Procurement and claims recommendation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Integrate the Organisational Carbon Strategy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K2 · K7 · K8 · K9 · A2 · A5 · LO4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2030 pathway model; Prioritised initiative portfolio; Offset and credit policy; Board dashboard and decision memo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