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Digital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TGS-2025056988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July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course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a 2-day n8n agentic marketing course with 214 aligned visual slides and 15 connected labs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and Assessment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Research, strategy and agentic content operations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Oversight, omnichannel publishing, ROI and optimisation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Lab-to-Criteria and Slide Alignment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Alignment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Agentic AI for Digital Marketing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320"/>
          </w:tcPr>
          <w:p>
            <w:r>
              <w:t>TGS-2025056988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TSC</w:t>
            </w:r>
          </w:p>
        </w:tc>
        <w:tc>
          <w:tcPr>
            <w:tcW w:type="dxa" w:w="4320"/>
          </w:tcPr>
          <w:p>
            <w:r>
              <w:t>Digital Marketing · WST-SNM-5042-1.1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16 training hours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Daily Timing</w:t>
            </w:r>
          </w:p>
        </w:tc>
        <w:tc>
          <w:tcPr>
            <w:tcW w:type="dxa" w:w="4320"/>
          </w:tcPr>
          <w:p>
            <w:r>
              <w:t>09:00–18:00 · 1-hour lunch excluded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320"/>
          </w:tcPr>
          <w:p>
            <w:r>
              <w:t>WA/SAQ 60 minutes + PP 60 minutes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4320"/>
          </w:tcPr>
          <w:p>
            <w:r>
              <w:t>Dr Alfred Ang</w:t>
            </w:r>
          </w:p>
        </w:tc>
      </w:tr>
      <w:tr>
        <w:tc>
          <w:tcPr>
            <w:tcW w:type="dxa" w:w="4320"/>
            <w:shd w:val="clear" w:color="auto" w:fill="F7F4F8"/>
          </w:tcPr>
          <w:p>
            <w:r>
              <w:rPr>
                <w:b/>
              </w:rPr>
              <w:t>Deck</w:t>
            </w:r>
          </w:p>
        </w:tc>
        <w:tc>
          <w:tcPr>
            <w:tcW w:type="dxa" w:w="4320"/>
          </w:tcPr>
          <w:p>
            <w:r>
              <w:t>Agentic AI for Digital Marketing-v2.0.pptx · 215 slides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Use generative-AI deep research and agentic workflows to formulate a digital marketing strategy, measurable objectives, KPIs and ROI model.</w:t>
      </w:r>
    </w:p>
    <w:p>
      <w:pPr>
        <w:pStyle w:val="ListBullet"/>
      </w:pPr>
      <w:r>
        <w:t>LO2: Evaluate channel and campaign ROI, synthesise RACE/SOSTAC strategy models, and align recommendations with overarching marketing objectives.</w:t>
      </w:r>
    </w:p>
    <w:p>
      <w:pPr>
        <w:pStyle w:val="ListBullet"/>
      </w:pPr>
      <w:r>
        <w:t>LO3: Lead the creation of an integrated online presence across web, email, social and emerging channels with human oversight.</w:t>
      </w:r>
    </w:p>
    <w:p>
      <w:pPr>
        <w:pStyle w:val="Heading1"/>
      </w:pPr>
      <w:r>
        <w:t>Training and Assessment Strategy</w:t>
      </w:r>
    </w:p>
    <w:p>
      <w:pPr>
        <w:pStyle w:val="ListBullet"/>
      </w:pPr>
      <w:r>
        <w:t>Mechanism-led visual instruction using architecture, state, data-contract, formula, chart and evidence slides.</w:t>
      </w:r>
    </w:p>
    <w:p>
      <w:pPr>
        <w:pStyle w:val="ListBullet"/>
      </w:pPr>
      <w:r>
        <w:t>Detailed click paths are taught through the Learner Guide and 15 self-contained lab folders, not the PPT.</w:t>
      </w:r>
    </w:p>
    <w:p>
      <w:pPr>
        <w:pStyle w:val="ListBullet"/>
      </w:pPr>
      <w:r>
        <w:t>Learners use only synthetic Excel data and inactive n8n workflows until a trainer authorises a sandbox.</w:t>
      </w:r>
    </w:p>
    <w:p>
      <w:pPr>
        <w:pStyle w:val="ListBullet"/>
      </w:pPr>
      <w:r>
        <w:t>Human approval is assessed as an operational control, not as an optional discussion point.</w:t>
      </w:r>
    </w:p>
    <w:p>
      <w:pPr>
        <w:pStyle w:val="Heading1"/>
      </w:pPr>
      <w:r>
        <w:t>Detailed Course Schedule</w:t>
      </w:r>
    </w:p>
    <w:p>
      <w:pPr>
        <w:pStyle w:val="Heading2"/>
      </w:pPr>
      <w:r>
        <w:t>Day 1 — Research, strategy and agentic content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Topic / Activity and Slide Reference</w:t>
            </w:r>
          </w:p>
        </w:tc>
      </w:tr>
      <w:tr>
        <w:tc>
          <w:tcPr>
            <w:tcW w:type="dxa" w:w="2160"/>
            <w:shd w:val="clear" w:color="auto" w:fill="F7F4F8"/>
          </w:tcPr>
          <w:p>
            <w:r>
              <w:t>09:00–09:30</w:t>
            </w:r>
          </w:p>
        </w:tc>
        <w:tc>
          <w:tcPr>
            <w:tcW w:type="dxa" w:w="2160"/>
            <w:shd w:val="clear" w:color="auto" w:fill="F7F4F8"/>
          </w:tcPr>
          <w:p>
            <w:r>
              <w:t>30</w:t>
            </w:r>
          </w:p>
        </w:tc>
        <w:tc>
          <w:tcPr>
            <w:tcW w:type="dxa" w:w="2160"/>
            <w:shd w:val="clear" w:color="auto" w:fill="F7F4F8"/>
          </w:tcPr>
          <w:p>
            <w:r>
              <w:t>Admin</w:t>
            </w:r>
          </w:p>
        </w:tc>
        <w:tc>
          <w:tcPr>
            <w:tcW w:type="dxa" w:w="2160"/>
            <w:shd w:val="clear" w:color="auto" w:fill="F7F4F8"/>
          </w:tcPr>
          <w:p>
            <w:r>
              <w:t>Welcome, digital attendance, trainer profiles, outcomes and safety boundaries — Slides 2–17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09:30–10:30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1 mechanisms: research contract, evidence lineage, source scoring and audience signals — Slides 18–55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>
              <w:t>10:30–10:45</w:t>
            </w:r>
          </w:p>
        </w:tc>
        <w:tc>
          <w:tcPr>
            <w:tcW w:type="dxa" w:w="2160"/>
            <w:shd w:val="clear" w:color="auto" w:fill="FFF4E5"/>
          </w:tcPr>
          <w:p>
            <w: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>
              <w:t>Tea break</w:t>
            </w:r>
          </w:p>
        </w:tc>
      </w:tr>
      <w:tr>
        <w:tc>
          <w:tcPr>
            <w:tcW w:type="dxa" w:w="2160"/>
          </w:tcPr>
          <w:p>
            <w:r>
              <w:t>10:45–12:30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Labs 1–3: brief/KPI contract, evidence research and audience opportunity ranking</w:t>
            </w:r>
          </w:p>
        </w:tc>
      </w:tr>
      <w:tr>
        <w:tc>
          <w:tcPr>
            <w:tcW w:type="dxa" w:w="2160"/>
            <w:shd w:val="clear" w:color="auto" w:fill="FDE9D9"/>
          </w:tcPr>
          <w:p>
            <w:r>
              <w:t>12:30–13:30</w:t>
            </w:r>
          </w:p>
        </w:tc>
        <w:tc>
          <w:tcPr>
            <w:tcW w:type="dxa" w:w="2160"/>
            <w:shd w:val="clear" w:color="auto" w:fill="FDE9D9"/>
          </w:tcPr>
          <w:p>
            <w: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>
              <w:t>Lunch break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13:30–14:30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2 mechanisms: RACE/SOSTAC, KPI contracts, ROI and attribution limits — Slides 56–93</w:t>
            </w:r>
          </w:p>
        </w:tc>
      </w:tr>
      <w:tr>
        <w:tc>
          <w:tcPr>
            <w:tcW w:type="dxa" w:w="2160"/>
          </w:tcPr>
          <w:p>
            <w:r>
              <w:t>14:30–15:45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Labs 4–6: strategy synthesis, channel economics and experiment backlog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>
              <w:t>15:45–16:00</w:t>
            </w:r>
          </w:p>
        </w:tc>
        <w:tc>
          <w:tcPr>
            <w:tcW w:type="dxa" w:w="2160"/>
            <w:shd w:val="clear" w:color="auto" w:fill="FFF4E5"/>
          </w:tcPr>
          <w:p>
            <w: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>
              <w:t>Tea break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16:00–17:15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75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3 mechanisms and Labs 7–8: content contracts and multi-channel generation — Slides 94–131</w:t>
            </w:r>
          </w:p>
        </w:tc>
      </w:tr>
      <w:tr>
        <w:tc>
          <w:tcPr>
            <w:tcW w:type="dxa" w:w="2160"/>
          </w:tcPr>
          <w:p>
            <w:r>
              <w:t>17:15–17:45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Lab 9: brand, claim, privacy and accessibility QA</w:t>
            </w:r>
          </w:p>
        </w:tc>
      </w:tr>
      <w:tr>
        <w:tc>
          <w:tcPr>
            <w:tcW w:type="dxa" w:w="2160"/>
            <w:shd w:val="clear" w:color="auto" w:fill="F7F4F8"/>
          </w:tcPr>
          <w:p>
            <w:r>
              <w:t>17:45–18:00</w:t>
            </w:r>
          </w:p>
        </w:tc>
        <w:tc>
          <w:tcPr>
            <w:tcW w:type="dxa" w:w="2160"/>
            <w:shd w:val="clear" w:color="auto" w:fill="F7F4F8"/>
          </w:tcPr>
          <w:p>
            <w:r>
              <w:t>15</w:t>
            </w:r>
          </w:p>
        </w:tc>
        <w:tc>
          <w:tcPr>
            <w:tcW w:type="dxa" w:w="2160"/>
            <w:shd w:val="clear" w:color="auto" w:fill="F7F4F8"/>
          </w:tcPr>
          <w:p>
            <w:r>
              <w:t>Recap</w:t>
            </w:r>
          </w:p>
        </w:tc>
        <w:tc>
          <w:tcPr>
            <w:tcW w:type="dxa" w:w="2160"/>
            <w:shd w:val="clear" w:color="auto" w:fill="F7F4F8"/>
          </w:tcPr>
          <w:p>
            <w:r>
              <w:t>Day 1 evidence review, Q&amp;A and PM digital attendance</w:t>
            </w:r>
          </w:p>
        </w:tc>
      </w:tr>
    </w:tbl>
    <w:p>
      <w:r>
        <w:rPr>
          <w:b/>
          <w:color w:val="168C8C"/>
        </w:rPr>
        <w:t>Training time: 480 minutes (8 hours), excluding lunch.</w:t>
      </w:r>
    </w:p>
    <w:p>
      <w:pPr>
        <w:pStyle w:val="Heading2"/>
      </w:pPr>
      <w:r>
        <w:t>Day 2 — Oversight, omnichannel publishing, ROI and optimisation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512B58"/>
          </w:tcPr>
          <w:p>
            <w:r>
              <w:rPr>
                <w:b/>
                <w:color w:val="FFFFFF"/>
              </w:rPr>
              <w:t>Topic / Activity and Slide Reference</w:t>
            </w:r>
          </w:p>
        </w:tc>
      </w:tr>
      <w:tr>
        <w:tc>
          <w:tcPr>
            <w:tcW w:type="dxa" w:w="2160"/>
            <w:shd w:val="clear" w:color="auto" w:fill="F7F4F8"/>
          </w:tcPr>
          <w:p>
            <w:r>
              <w:t>09:00–09:15</w:t>
            </w:r>
          </w:p>
        </w:tc>
        <w:tc>
          <w:tcPr>
            <w:tcW w:type="dxa" w:w="2160"/>
            <w:shd w:val="clear" w:color="auto" w:fill="F7F4F8"/>
          </w:tcPr>
          <w:p>
            <w:r>
              <w:t>15</w:t>
            </w:r>
          </w:p>
        </w:tc>
        <w:tc>
          <w:tcPr>
            <w:tcW w:type="dxa" w:w="2160"/>
            <w:shd w:val="clear" w:color="auto" w:fill="F7F4F8"/>
          </w:tcPr>
          <w:p>
            <w:r>
              <w:t>Recap</w:t>
            </w:r>
          </w:p>
        </w:tc>
        <w:tc>
          <w:tcPr>
            <w:tcW w:type="dxa" w:w="2160"/>
            <w:shd w:val="clear" w:color="auto" w:fill="F7F4F8"/>
          </w:tcPr>
          <w:p>
            <w:r>
              <w:t>Day 1 recap and AM digital attendance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09:15–10:15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4 mechanisms: approval state, payload hashes, idempotency and audit trail — Slides 132–169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>
              <w:t>10:15–10:30</w:t>
            </w:r>
          </w:p>
        </w:tc>
        <w:tc>
          <w:tcPr>
            <w:tcW w:type="dxa" w:w="2160"/>
            <w:shd w:val="clear" w:color="auto" w:fill="FFF4E5"/>
          </w:tcPr>
          <w:p>
            <w: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>
              <w:t>Tea break</w:t>
            </w:r>
          </w:p>
        </w:tc>
      </w:tr>
      <w:tr>
        <w:tc>
          <w:tcPr>
            <w:tcW w:type="dxa" w:w="2160"/>
          </w:tcPr>
          <w:p>
            <w:r>
              <w:t>10:30–12:30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Labs 10–12: human approval, safe social publishing and end-to-end orchestration</w:t>
            </w:r>
          </w:p>
        </w:tc>
      </w:tr>
      <w:tr>
        <w:tc>
          <w:tcPr>
            <w:tcW w:type="dxa" w:w="2160"/>
            <w:shd w:val="clear" w:color="auto" w:fill="FDE9D9"/>
          </w:tcPr>
          <w:p>
            <w:r>
              <w:t>12:30–13:30</w:t>
            </w:r>
          </w:p>
        </w:tc>
        <w:tc>
          <w:tcPr>
            <w:tcW w:type="dxa" w:w="2160"/>
            <w:shd w:val="clear" w:color="auto" w:fill="FDE9D9"/>
          </w:tcPr>
          <w:p>
            <w:r>
              <w:t>60</w:t>
            </w:r>
          </w:p>
        </w:tc>
        <w:tc>
          <w:tcPr>
            <w:tcW w:type="dxa" w:w="2160"/>
            <w:shd w:val="clear" w:color="auto" w:fill="FDE9D9"/>
          </w:tcPr>
          <w:p>
            <w:r>
              <w:t>Lunch</w:t>
            </w:r>
          </w:p>
        </w:tc>
        <w:tc>
          <w:tcPr>
            <w:tcW w:type="dxa" w:w="2160"/>
            <w:shd w:val="clear" w:color="auto" w:fill="FDE9D9"/>
          </w:tcPr>
          <w:p>
            <w:r>
              <w:t>Lunch break</w:t>
            </w:r>
          </w:p>
        </w:tc>
      </w:tr>
      <w:tr>
        <w:tc>
          <w:tcPr>
            <w:tcW w:type="dxa" w:w="2160"/>
            <w:shd w:val="clear" w:color="auto" w:fill="EEE7F0"/>
          </w:tcPr>
          <w:p>
            <w:r>
              <w:t>13:30–14:30</w:t>
            </w:r>
          </w:p>
        </w:tc>
        <w:tc>
          <w:tcPr>
            <w:tcW w:type="dxa" w:w="2160"/>
            <w:shd w:val="clear" w:color="auto" w:fill="EEE7F0"/>
          </w:tcPr>
          <w:p>
            <w:r>
              <w:t>60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</w:t>
            </w:r>
          </w:p>
        </w:tc>
        <w:tc>
          <w:tcPr>
            <w:tcW w:type="dxa" w:w="2160"/>
            <w:shd w:val="clear" w:color="auto" w:fill="EEE7F0"/>
          </w:tcPr>
          <w:p>
            <w:r>
              <w:t>Topic 5 mechanisms: event contracts, attribution, ROI, anomalies and controlled feedback — Slides 170–207</w:t>
            </w:r>
          </w:p>
        </w:tc>
      </w:tr>
      <w:tr>
        <w:tc>
          <w:tcPr>
            <w:tcW w:type="dxa" w:w="2160"/>
          </w:tcPr>
          <w:p>
            <w:r>
              <w:t>14:30–15:30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Lab</w:t>
            </w:r>
          </w:p>
        </w:tc>
        <w:tc>
          <w:tcPr>
            <w:tcW w:type="dxa" w:w="2160"/>
          </w:tcPr>
          <w:p>
            <w:r>
              <w:t>Labs 13–15: performance facts, ROI dashboard and optimisation capstone</w:t>
            </w:r>
          </w:p>
        </w:tc>
      </w:tr>
      <w:tr>
        <w:tc>
          <w:tcPr>
            <w:tcW w:type="dxa" w:w="2160"/>
            <w:shd w:val="clear" w:color="auto" w:fill="FFF4E5"/>
          </w:tcPr>
          <w:p>
            <w:r>
              <w:t>15:30–15:45</w:t>
            </w:r>
          </w:p>
        </w:tc>
        <w:tc>
          <w:tcPr>
            <w:tcW w:type="dxa" w:w="2160"/>
            <w:shd w:val="clear" w:color="auto" w:fill="FFF4E5"/>
          </w:tcPr>
          <w:p>
            <w:r>
              <w:t>15</w:t>
            </w:r>
          </w:p>
        </w:tc>
        <w:tc>
          <w:tcPr>
            <w:tcW w:type="dxa" w:w="2160"/>
            <w:shd w:val="clear" w:color="auto" w:fill="FFF4E5"/>
          </w:tcPr>
          <w:p>
            <w:r>
              <w:t>Break</w:t>
            </w:r>
          </w:p>
        </w:tc>
        <w:tc>
          <w:tcPr>
            <w:tcW w:type="dxa" w:w="2160"/>
            <w:shd w:val="clear" w:color="auto" w:fill="FFF4E5"/>
          </w:tcPr>
          <w:p>
            <w:r>
              <w:t>Tea break</w:t>
            </w:r>
          </w:p>
        </w:tc>
      </w:tr>
      <w:tr>
        <w:tc>
          <w:tcPr>
            <w:tcW w:type="dxa" w:w="2160"/>
            <w:shd w:val="clear" w:color="auto" w:fill="EAF7EF"/>
          </w:tcPr>
          <w:p>
            <w:r>
              <w:t>15:45–16:00</w:t>
            </w:r>
          </w:p>
        </w:tc>
        <w:tc>
          <w:tcPr>
            <w:tcW w:type="dxa" w:w="2160"/>
            <w:shd w:val="clear" w:color="auto" w:fill="EAF7EF"/>
          </w:tcPr>
          <w:p>
            <w:r>
              <w:t>15</w:t>
            </w:r>
          </w:p>
        </w:tc>
        <w:tc>
          <w:tcPr>
            <w:tcW w:type="dxa" w:w="2160"/>
            <w:shd w:val="clear" w:color="auto" w:fill="EAF7EF"/>
          </w:tcPr>
          <w:p>
            <w:r>
              <w:t>Assess</w:t>
            </w:r>
          </w:p>
        </w:tc>
        <w:tc>
          <w:tcPr>
            <w:tcW w:type="dxa" w:w="2160"/>
            <w:shd w:val="clear" w:color="auto" w:fill="EAF7EF"/>
          </w:tcPr>
          <w:p>
            <w:r>
              <w:t>Assessment briefing and closing flow — Slides 208–215</w:t>
            </w:r>
          </w:p>
        </w:tc>
      </w:tr>
      <w:tr>
        <w:tc>
          <w:tcPr>
            <w:tcW w:type="dxa" w:w="2160"/>
            <w:shd w:val="clear" w:color="auto" w:fill="EAF7EF"/>
          </w:tcPr>
          <w:p>
            <w:r>
              <w:t>16:00–17:00</w:t>
            </w:r>
          </w:p>
        </w:tc>
        <w:tc>
          <w:tcPr>
            <w:tcW w:type="dxa" w:w="2160"/>
            <w:shd w:val="clear" w:color="auto" w:fill="EAF7EF"/>
          </w:tcPr>
          <w:p>
            <w:r>
              <w:t>60</w:t>
            </w:r>
          </w:p>
        </w:tc>
        <w:tc>
          <w:tcPr>
            <w:tcW w:type="dxa" w:w="2160"/>
            <w:shd w:val="clear" w:color="auto" w:fill="EAF7EF"/>
          </w:tcPr>
          <w:p>
            <w:r>
              <w:t>Assess</w:t>
            </w:r>
          </w:p>
        </w:tc>
        <w:tc>
          <w:tcPr>
            <w:tcW w:type="dxa" w:w="2160"/>
            <w:shd w:val="clear" w:color="auto" w:fill="EAF7EF"/>
          </w:tcPr>
          <w:p>
            <w:r>
              <w:t>Written Assessment (WA/SAQ) — open book</w:t>
            </w:r>
          </w:p>
        </w:tc>
      </w:tr>
      <w:tr>
        <w:tc>
          <w:tcPr>
            <w:tcW w:type="dxa" w:w="2160"/>
            <w:shd w:val="clear" w:color="auto" w:fill="EAF7EF"/>
          </w:tcPr>
          <w:p>
            <w:r>
              <w:t>17:00–18:00</w:t>
            </w:r>
          </w:p>
        </w:tc>
        <w:tc>
          <w:tcPr>
            <w:tcW w:type="dxa" w:w="2160"/>
            <w:shd w:val="clear" w:color="auto" w:fill="EAF7EF"/>
          </w:tcPr>
          <w:p>
            <w:r>
              <w:t>60</w:t>
            </w:r>
          </w:p>
        </w:tc>
        <w:tc>
          <w:tcPr>
            <w:tcW w:type="dxa" w:w="2160"/>
            <w:shd w:val="clear" w:color="auto" w:fill="EAF7EF"/>
          </w:tcPr>
          <w:p>
            <w:r>
              <w:t>Assess</w:t>
            </w:r>
          </w:p>
        </w:tc>
        <w:tc>
          <w:tcPr>
            <w:tcW w:type="dxa" w:w="2160"/>
            <w:shd w:val="clear" w:color="auto" w:fill="EAF7EF"/>
          </w:tcPr>
          <w:p>
            <w:r>
              <w:t>Practical Performance (PP) — n8n workflow evidence; assessment attendance</w:t>
            </w:r>
          </w:p>
        </w:tc>
      </w:tr>
    </w:tbl>
    <w:p>
      <w:r>
        <w:rPr>
          <w:b/>
          <w:color w:val="168C8C"/>
        </w:rPr>
        <w:t>Training time: 480 minutes (8 hours), excluding lunch.</w:t>
      </w:r>
    </w:p>
    <w:p>
      <w:pPr>
        <w:pStyle w:val="Heading1"/>
      </w:pPr>
      <w:r>
        <w:t>Lab-to-Criteria and Slide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Lab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Deck entry slide</w:t>
            </w:r>
          </w:p>
        </w:tc>
        <w:tc>
          <w:tcPr>
            <w:tcW w:type="dxa" w:w="1728"/>
            <w:shd w:val="clear" w:color="auto" w:fill="168C8C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A1, A2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K2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K1, K2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K1, K3, A4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K4, A3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A2, A4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K3, A4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K5, A5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K5, A5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K5, A5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A4, A5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K2, K4, A3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K2, K4, A3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A3, A4, A5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Checklist + execution output</w:t>
            </w:r>
          </w:p>
        </w:tc>
      </w:tr>
    </w:tbl>
    <w:p>
      <w:pPr>
        <w:pStyle w:val="Heading1"/>
      </w:pPr>
      <w:r>
        <w:t>Assessment Alignment</w:t>
      </w:r>
    </w:p>
    <w:p>
      <w:pPr>
        <w:pStyle w:val="ListBullet"/>
      </w:pPr>
      <w:r>
        <w:t>WA covers K1–K5 using open-ended questions answerable from the deck and Learner Guide.</w:t>
      </w:r>
    </w:p>
    <w:p>
      <w:pPr>
        <w:pStyle w:val="ListBullet"/>
      </w:pPr>
      <w:r>
        <w:t>PP covers A1–A5 using the connected campaign labs and requires workflow evidence.</w:t>
      </w:r>
    </w:p>
    <w:p>
      <w:pPr>
        <w:pStyle w:val="ListBullet"/>
      </w:pPr>
      <w:r>
        <w:t>Only candidate papers are learner-facing; answer keys remain trainer-private.</w:t>
      </w:r>
    </w:p>
    <w:p>
      <w:pPr>
        <w:pStyle w:val="ListBullet"/>
      </w:pPr>
      <w:r>
        <w:t>Assessment scripts are submitted through https://lms-tms.tertiaryinfotech.com/.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