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MARKETING PERFORMANCE ANALYSIS</w:t>
      </w:r>
    </w:p>
    <w:p>
      <w:pPr>
        <w:pStyle w:val="ReportTitle"/>
      </w:pPr>
      <w:r>
        <w:t>Sunset Bay Resort Singapore</w:t>
      </w:r>
    </w:p>
    <w:p>
      <w:pPr>
        <w:pStyle w:val="ReportSubtitle"/>
      </w:pPr>
      <w:r>
        <w:t>Google Ads and Facebook Ads | January–June 2026</w:t>
      </w:r>
    </w:p>
    <w:p>
      <w:pPr>
        <w:pStyle w:val="ReportSubtitle"/>
      </w:pPr>
      <w:r>
        <w:t>Executive report based on MOCK-MARKETING-DATA.xlsx</w:t>
      </w:r>
    </w:p>
    <w:p>
      <w:pPr>
        <w:pStyle w:val="Callout"/>
      </w:pPr>
      <w:r>
        <w:t>SIMULATION DATA — All figures are fictional and provided for training use only. They do not describe a real business.</w:t>
      </w:r>
    </w:p>
    <w:p>
      <w:pPr>
        <w:pStyle w:val="Meta"/>
      </w:pPr>
      <w:r>
        <w:t>Prepared by Tertiary Infotech Academy |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ead"/>
      </w:pPr>
      <w:r>
        <w:t>The portfolio generated S$625,170 in simulated revenue from S$72,700 in advertising spend, producing an 8.60x return on ad spend (ROAS) and 759.9% return after advertising cost. Across both channels, the campaign delivered 1,848 conversions at an average cost per conversion of S$39.34.</w:t>
      </w:r>
    </w:p>
    <w:p>
      <w:pPr>
        <w:pStyle w:val="Heading2"/>
      </w:pPr>
      <w:r>
        <w:t>Headline findings</w:t>
      </w:r>
    </w:p>
    <w:p>
      <w:pPr>
        <w:pStyle w:val="ListBullet"/>
      </w:pPr>
      <w:r>
        <w:t>Google Ads is the growth and efficiency engine: 10.36x ROAS, S$34.36 cost per conversion, and 1,266 conversions.</w:t>
      </w:r>
    </w:p>
    <w:p>
      <w:pPr>
        <w:pStyle w:val="ListBullet"/>
      </w:pPr>
      <w:r>
        <w:t>Facebook Ads remains profitable but is deteriorating: ROAS fell from 6.83x in January to 5.00x in June, while cost per conversion rose from S$43.96 to S$60.00.</w:t>
      </w:r>
    </w:p>
    <w:p>
      <w:pPr>
        <w:pStyle w:val="ListBullet"/>
      </w:pPr>
      <w:r>
        <w:t>Portfolio revenue grew 44.9% from January to June, almost exactly matching spend growth of 45.0%; overall ROAS was therefore essentially flat (8.61x to 8.60x).</w:t>
      </w:r>
    </w:p>
    <w:p>
      <w:pPr>
        <w:pStyle w:val="ListBullet"/>
      </w:pPr>
      <w:r>
        <w:t>The channel mix hides a strong divergence: Google efficiency improved as it scaled, while Facebook's post-click conversion rate weakened despite stable click-through and cost per click.</w:t>
      </w:r>
    </w:p>
    <w:p>
      <w:pPr>
        <w:pStyle w:val="ListBullet"/>
      </w:pPr>
      <w:r>
        <w:t>A controlled reallocation of 20% of Facebook spend (S$5,840) to Google would have produced approximately S$25,570 more revenue and 54 more conversions if historical efficiency had held. This is a scenario, not a forecast.</w:t>
      </w:r>
    </w:p>
    <w:p>
      <w:pPr>
        <w:pStyle w:val="Heading2"/>
      </w:pPr>
      <w:r>
        <w:t>Recommended decision</w:t>
      </w:r>
    </w:p>
    <w:p>
      <w:pPr>
        <w:pStyle w:val="Recommendation"/>
      </w:pPr>
      <w:r>
        <w:t>Scale Google Ads gradually, pause further Facebook budget increases, and use a four-week Facebook recovery test focused on landing-page conversion, audience quality, and creative fatigue. Reallocate budget only after confirming marginal performance and saturation limits.</w:t>
      </w:r>
    </w:p>
    <w:p>
      <w:pPr>
        <w:pStyle w:val="Heading1"/>
      </w:pPr>
      <w:r>
        <w:t>Portfolio KPI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251"/>
          </w:tcPr>
          <w:p>
            <w:r>
              <w:rPr>
                <w:b/>
              </w:rPr>
              <w:t>Jan–Jun 2026 result</w:t>
            </w:r>
          </w:p>
        </w:tc>
        <w:tc>
          <w:tcPr>
            <w:tcW w:type="dxa" w:w="3251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251"/>
          </w:tcPr>
          <w:p>
            <w:r>
              <w:t>Advertising spend</w:t>
            </w:r>
          </w:p>
        </w:tc>
        <w:tc>
          <w:tcPr>
            <w:tcW w:type="dxa" w:w="3251"/>
          </w:tcPr>
          <w:p>
            <w:r>
              <w:t>S$72,700</w:t>
            </w:r>
          </w:p>
        </w:tc>
        <w:tc>
          <w:tcPr>
            <w:tcW w:type="dxa" w:w="3251"/>
          </w:tcPr>
          <w:p>
            <w:r>
              <w:t>Total investment across both channels</w:t>
            </w:r>
          </w:p>
        </w:tc>
      </w:tr>
      <w:tr>
        <w:tc>
          <w:tcPr>
            <w:tcW w:type="dxa" w:w="3251"/>
          </w:tcPr>
          <w:p>
            <w:r>
              <w:t>Revenue</w:t>
            </w:r>
          </w:p>
        </w:tc>
        <w:tc>
          <w:tcPr>
            <w:tcW w:type="dxa" w:w="3251"/>
          </w:tcPr>
          <w:p>
            <w:r>
              <w:t>S$625,170</w:t>
            </w:r>
          </w:p>
        </w:tc>
        <w:tc>
          <w:tcPr>
            <w:tcW w:type="dxa" w:w="3251"/>
          </w:tcPr>
          <w:p>
            <w:r>
              <w:t>Simulated revenue attributed to campaigns</w:t>
            </w:r>
          </w:p>
        </w:tc>
      </w:tr>
      <w:tr>
        <w:tc>
          <w:tcPr>
            <w:tcW w:type="dxa" w:w="3251"/>
          </w:tcPr>
          <w:p>
            <w:r>
              <w:t>ROAS</w:t>
            </w:r>
          </w:p>
        </w:tc>
        <w:tc>
          <w:tcPr>
            <w:tcW w:type="dxa" w:w="3251"/>
          </w:tcPr>
          <w:p>
            <w:r>
              <w:t>8.60x</w:t>
            </w:r>
          </w:p>
        </w:tc>
        <w:tc>
          <w:tcPr>
            <w:tcW w:type="dxa" w:w="3251"/>
          </w:tcPr>
          <w:p>
            <w:r>
              <w:t>S$8.60 revenue per S$1 of spend</w:t>
            </w:r>
          </w:p>
        </w:tc>
      </w:tr>
      <w:tr>
        <w:tc>
          <w:tcPr>
            <w:tcW w:type="dxa" w:w="3251"/>
          </w:tcPr>
          <w:p>
            <w:r>
              <w:t>ROI after ad cost</w:t>
            </w:r>
          </w:p>
        </w:tc>
        <w:tc>
          <w:tcPr>
            <w:tcW w:type="dxa" w:w="3251"/>
          </w:tcPr>
          <w:p>
            <w:r>
              <w:t>759.9%</w:t>
            </w:r>
          </w:p>
        </w:tc>
        <w:tc>
          <w:tcPr>
            <w:tcW w:type="dxa" w:w="3251"/>
          </w:tcPr>
          <w:p>
            <w:r>
              <w:t>(Revenue − spend) / spend</w:t>
            </w:r>
          </w:p>
        </w:tc>
      </w:tr>
      <w:tr>
        <w:tc>
          <w:tcPr>
            <w:tcW w:type="dxa" w:w="3251"/>
          </w:tcPr>
          <w:p>
            <w:r>
              <w:t>Conversions</w:t>
            </w:r>
          </w:p>
        </w:tc>
        <w:tc>
          <w:tcPr>
            <w:tcW w:type="dxa" w:w="3251"/>
          </w:tcPr>
          <w:p>
            <w:r>
              <w:t>1,848</w:t>
            </w:r>
          </w:p>
        </w:tc>
        <w:tc>
          <w:tcPr>
            <w:tcW w:type="dxa" w:w="3251"/>
          </w:tcPr>
          <w:p>
            <w:r>
              <w:t>Total recorded conversions</w:t>
            </w:r>
          </w:p>
        </w:tc>
      </w:tr>
      <w:tr>
        <w:tc>
          <w:tcPr>
            <w:tcW w:type="dxa" w:w="3251"/>
          </w:tcPr>
          <w:p>
            <w:r>
              <w:t>Cost per conversion</w:t>
            </w:r>
          </w:p>
        </w:tc>
        <w:tc>
          <w:tcPr>
            <w:tcW w:type="dxa" w:w="3251"/>
          </w:tcPr>
          <w:p>
            <w:r>
              <w:t>S$39.34</w:t>
            </w:r>
          </w:p>
        </w:tc>
        <w:tc>
          <w:tcPr>
            <w:tcW w:type="dxa" w:w="3251"/>
          </w:tcPr>
          <w:p>
            <w:r>
              <w:t>Blended acquisition cost</w:t>
            </w:r>
          </w:p>
        </w:tc>
      </w:tr>
      <w:tr>
        <w:tc>
          <w:tcPr>
            <w:tcW w:type="dxa" w:w="3251"/>
          </w:tcPr>
          <w:p>
            <w:r>
              <w:t>Click-through rate</w:t>
            </w:r>
          </w:p>
        </w:tc>
        <w:tc>
          <w:tcPr>
            <w:tcW w:type="dxa" w:w="3251"/>
          </w:tcPr>
          <w:p>
            <w:r>
              <w:t>1.8%</w:t>
            </w:r>
          </w:p>
        </w:tc>
        <w:tc>
          <w:tcPr>
            <w:tcW w:type="dxa" w:w="3251"/>
          </w:tcPr>
          <w:p>
            <w:r>
              <w:t>Clicks / impressions</w:t>
            </w:r>
          </w:p>
        </w:tc>
      </w:tr>
      <w:tr>
        <w:tc>
          <w:tcPr>
            <w:tcW w:type="dxa" w:w="3251"/>
          </w:tcPr>
          <w:p>
            <w:r>
              <w:t>Click-to-conversion rate</w:t>
            </w:r>
          </w:p>
        </w:tc>
        <w:tc>
          <w:tcPr>
            <w:tcW w:type="dxa" w:w="3251"/>
          </w:tcPr>
          <w:p>
            <w:r>
              <w:t>1.8%</w:t>
            </w:r>
          </w:p>
        </w:tc>
        <w:tc>
          <w:tcPr>
            <w:tcW w:type="dxa" w:w="3251"/>
          </w:tcPr>
          <w:p>
            <w:r>
              <w:t>Conversions / clicks</w:t>
            </w:r>
          </w:p>
        </w:tc>
      </w:tr>
    </w:tbl>
    <w:p>
      <w:pPr>
        <w:pStyle w:val="Note"/>
      </w:pPr>
      <w:r>
        <w:t>Metric note: the workbook defines “ROI (return on spend)” as Revenue / Spend. This report labels that measure ROAS and separately reports percentage ROI as (Revenue − Spend) / Spend.</w:t>
      </w:r>
    </w:p>
    <w:p>
      <w:r>
        <w:br w:type="page"/>
      </w:r>
    </w:p>
    <w:p>
      <w:pPr>
        <w:pStyle w:val="Heading1"/>
      </w:pPr>
      <w:r>
        <w:t>Performance Trend</w:t>
      </w:r>
    </w:p>
    <w:p>
      <w:r>
        <w:drawing>
          <wp:inline xmlns:a="http://schemas.openxmlformats.org/drawingml/2006/main" xmlns:pic="http://schemas.openxmlformats.org/drawingml/2006/picture">
            <wp:extent cx="5976000" cy="3013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thly_spend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Monthly revenue increased from S$86,100 in January to S$124,720 in June (44.9%), while spend increased from S$10,000 to S$14,500 (45.0%). The portfolio's best monthly ROAS was 8.94x in Feb; the lowest was 8.26x in Apr.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Top-line growth was driven mainly by increased investment rather than a broad improvement in blended efficiency.</w:t>
      </w:r>
    </w:p>
    <w:p>
      <w:pPr>
        <w:pStyle w:val="ListBullet"/>
      </w:pPr>
      <w:r>
        <w:t>Conversions rose 37.5% from January to June, slower than spend and revenue, while revenue per conversion improved from S$332.43 to S$350.34.</w:t>
      </w:r>
    </w:p>
    <w:p>
      <w:pPr>
        <w:pStyle w:val="ListBullet"/>
      </w:pPr>
      <w:r>
        <w:t>The April ROAS dip was followed by recovery in May and June, led by stronger Google Ads performance.</w:t>
      </w:r>
    </w:p>
    <w:p>
      <w:r>
        <w:drawing>
          <wp:inline xmlns:a="http://schemas.openxmlformats.org/drawingml/2006/main" xmlns:pic="http://schemas.openxmlformats.org/drawingml/2006/picture">
            <wp:extent cx="5976000" cy="3013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ersions_by_cha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sight"/>
      </w:pPr>
      <w:r>
        <w:t>Google Ads produced the majority of incremental conversions. Facebook conversions plateaued at 100 in May and June even as monthly Facebook spend increased to S$5,500 and S$6,000 respectively.</w:t>
      </w:r>
    </w:p>
    <w:p>
      <w:pPr>
        <w:pStyle w:val="Heading1"/>
      </w:pPr>
      <w:r>
        <w:t>Channel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38"/>
          </w:tcPr>
          <w:p>
            <w:r>
              <w:rPr>
                <w:b/>
              </w:rPr>
              <w:t>Google Ads</w:t>
            </w:r>
          </w:p>
        </w:tc>
        <w:tc>
          <w:tcPr>
            <w:tcW w:type="dxa" w:w="2438"/>
          </w:tcPr>
          <w:p>
            <w:r>
              <w:rPr>
                <w:b/>
              </w:rPr>
              <w:t>Facebook Ads</w:t>
            </w:r>
          </w:p>
        </w:tc>
        <w:tc>
          <w:tcPr>
            <w:tcW w:type="dxa" w:w="2438"/>
          </w:tcPr>
          <w:p>
            <w:r>
              <w:rPr>
                <w:b/>
              </w:rPr>
              <w:t>Google advantage</w:t>
            </w:r>
          </w:p>
        </w:tc>
      </w:tr>
      <w:tr>
        <w:tc>
          <w:tcPr>
            <w:tcW w:type="dxa" w:w="2438"/>
          </w:tcPr>
          <w:p>
            <w:r>
              <w:t>Spend</w:t>
            </w:r>
          </w:p>
        </w:tc>
        <w:tc>
          <w:tcPr>
            <w:tcW w:type="dxa" w:w="2438"/>
          </w:tcPr>
          <w:p>
            <w:r>
              <w:t>S$43,500</w:t>
            </w:r>
          </w:p>
        </w:tc>
        <w:tc>
          <w:tcPr>
            <w:tcW w:type="dxa" w:w="2438"/>
          </w:tcPr>
          <w:p>
            <w:r>
              <w:t>S$29,200</w:t>
            </w:r>
          </w:p>
        </w:tc>
        <w:tc>
          <w:tcPr>
            <w:tcW w:type="dxa" w:w="2438"/>
          </w:tcPr>
          <w:p>
            <w:r>
              <w:t>—</w:t>
            </w:r>
          </w:p>
        </w:tc>
      </w:tr>
      <w:tr>
        <w:tc>
          <w:tcPr>
            <w:tcW w:type="dxa" w:w="2438"/>
          </w:tcPr>
          <w:p>
            <w:r>
              <w:t>Revenue</w:t>
            </w:r>
          </w:p>
        </w:tc>
        <w:tc>
          <w:tcPr>
            <w:tcW w:type="dxa" w:w="2438"/>
          </w:tcPr>
          <w:p>
            <w:r>
              <w:t>S$450,570</w:t>
            </w:r>
          </w:p>
        </w:tc>
        <w:tc>
          <w:tcPr>
            <w:tcW w:type="dxa" w:w="2438"/>
          </w:tcPr>
          <w:p>
            <w:r>
              <w:t>S$174,600</w:t>
            </w:r>
          </w:p>
        </w:tc>
        <w:tc>
          <w:tcPr>
            <w:tcW w:type="dxa" w:w="2438"/>
          </w:tcPr>
          <w:p>
            <w:r>
              <w:t>—</w:t>
            </w:r>
          </w:p>
        </w:tc>
      </w:tr>
      <w:tr>
        <w:tc>
          <w:tcPr>
            <w:tcW w:type="dxa" w:w="2438"/>
          </w:tcPr>
          <w:p>
            <w:r>
              <w:t>Conversions</w:t>
            </w:r>
          </w:p>
        </w:tc>
        <w:tc>
          <w:tcPr>
            <w:tcW w:type="dxa" w:w="2438"/>
          </w:tcPr>
          <w:p>
            <w:r>
              <w:t>1,266</w:t>
            </w:r>
          </w:p>
        </w:tc>
        <w:tc>
          <w:tcPr>
            <w:tcW w:type="dxa" w:w="2438"/>
          </w:tcPr>
          <w:p>
            <w:r>
              <w:t>582</w:t>
            </w:r>
          </w:p>
        </w:tc>
        <w:tc>
          <w:tcPr>
            <w:tcW w:type="dxa" w:w="2438"/>
          </w:tcPr>
          <w:p>
            <w:r>
              <w:t>2.18× volume</w:t>
            </w:r>
          </w:p>
        </w:tc>
      </w:tr>
      <w:tr>
        <w:tc>
          <w:tcPr>
            <w:tcW w:type="dxa" w:w="2438"/>
          </w:tcPr>
          <w:p>
            <w:r>
              <w:t>ROAS</w:t>
            </w:r>
          </w:p>
        </w:tc>
        <w:tc>
          <w:tcPr>
            <w:tcW w:type="dxa" w:w="2438"/>
          </w:tcPr>
          <w:p>
            <w:r>
              <w:t>10.36x</w:t>
            </w:r>
          </w:p>
        </w:tc>
        <w:tc>
          <w:tcPr>
            <w:tcW w:type="dxa" w:w="2438"/>
          </w:tcPr>
          <w:p>
            <w:r>
              <w:t>5.98x</w:t>
            </w:r>
          </w:p>
        </w:tc>
        <w:tc>
          <w:tcPr>
            <w:tcW w:type="dxa" w:w="2438"/>
          </w:tcPr>
          <w:p>
            <w:r>
              <w:t>73% higher</w:t>
            </w:r>
          </w:p>
        </w:tc>
      </w:tr>
      <w:tr>
        <w:tc>
          <w:tcPr>
            <w:tcW w:type="dxa" w:w="2438"/>
          </w:tcPr>
          <w:p>
            <w:r>
              <w:t>Cost per conversion</w:t>
            </w:r>
          </w:p>
        </w:tc>
        <w:tc>
          <w:tcPr>
            <w:tcW w:type="dxa" w:w="2438"/>
          </w:tcPr>
          <w:p>
            <w:r>
              <w:t>S$34.36</w:t>
            </w:r>
          </w:p>
        </w:tc>
        <w:tc>
          <w:tcPr>
            <w:tcW w:type="dxa" w:w="2438"/>
          </w:tcPr>
          <w:p>
            <w:r>
              <w:t>S$50.17</w:t>
            </w:r>
          </w:p>
        </w:tc>
        <w:tc>
          <w:tcPr>
            <w:tcW w:type="dxa" w:w="2438"/>
          </w:tcPr>
          <w:p>
            <w:r>
              <w:t>32% lower</w:t>
            </w:r>
          </w:p>
        </w:tc>
      </w:tr>
      <w:tr>
        <w:tc>
          <w:tcPr>
            <w:tcW w:type="dxa" w:w="2438"/>
          </w:tcPr>
          <w:p>
            <w:r>
              <w:t>CTR</w:t>
            </w:r>
          </w:p>
        </w:tc>
        <w:tc>
          <w:tcPr>
            <w:tcW w:type="dxa" w:w="2438"/>
          </w:tcPr>
          <w:p>
            <w:r>
              <w:t>2.0%</w:t>
            </w:r>
          </w:p>
        </w:tc>
        <w:tc>
          <w:tcPr>
            <w:tcW w:type="dxa" w:w="2438"/>
          </w:tcPr>
          <w:p>
            <w:r>
              <w:t>1.6%</w:t>
            </w:r>
          </w:p>
        </w:tc>
        <w:tc>
          <w:tcPr>
            <w:tcW w:type="dxa" w:w="2438"/>
          </w:tcPr>
          <w:p>
            <w:r>
              <w:t>25% higher</w:t>
            </w:r>
          </w:p>
        </w:tc>
      </w:tr>
      <w:tr>
        <w:tc>
          <w:tcPr>
            <w:tcW w:type="dxa" w:w="2438"/>
          </w:tcPr>
          <w:p>
            <w:r>
              <w:t>Click-to-conversion rate</w:t>
            </w:r>
          </w:p>
        </w:tc>
        <w:tc>
          <w:tcPr>
            <w:tcW w:type="dxa" w:w="2438"/>
          </w:tcPr>
          <w:p>
            <w:r>
              <w:t>2.1%</w:t>
            </w:r>
          </w:p>
        </w:tc>
        <w:tc>
          <w:tcPr>
            <w:tcW w:type="dxa" w:w="2438"/>
          </w:tcPr>
          <w:p>
            <w:r>
              <w:t>1.3%</w:t>
            </w:r>
          </w:p>
        </w:tc>
        <w:tc>
          <w:tcPr>
            <w:tcW w:type="dxa" w:w="2438"/>
          </w:tcPr>
          <w:p>
            <w:r>
              <w:t>59% higher</w:t>
            </w:r>
          </w:p>
        </w:tc>
      </w:tr>
      <w:tr>
        <w:tc>
          <w:tcPr>
            <w:tcW w:type="dxa" w:w="2438"/>
          </w:tcPr>
          <w:p>
            <w:r>
              <w:t>Revenue per conversion</w:t>
            </w:r>
          </w:p>
        </w:tc>
        <w:tc>
          <w:tcPr>
            <w:tcW w:type="dxa" w:w="2438"/>
          </w:tcPr>
          <w:p>
            <w:r>
              <w:t>S$355.90</w:t>
            </w:r>
          </w:p>
        </w:tc>
        <w:tc>
          <w:tcPr>
            <w:tcW w:type="dxa" w:w="2438"/>
          </w:tcPr>
          <w:p>
            <w:r>
              <w:t>S$300.00</w:t>
            </w:r>
          </w:p>
        </w:tc>
        <w:tc>
          <w:tcPr>
            <w:tcW w:type="dxa" w:w="2438"/>
          </w:tcPr>
          <w:p>
            <w:r>
              <w:t>19% higher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76000" cy="2952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nnel_effici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5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Why Google leads</w:t>
      </w:r>
    </w:p>
    <w:p>
      <w:pPr>
        <w:pStyle w:val="ListBullet"/>
      </w:pPr>
      <w:r>
        <w:t>Google generated 72.1% of revenue from 59.8% of spend.</w:t>
      </w:r>
    </w:p>
    <w:p>
      <w:pPr>
        <w:pStyle w:val="ListBullet"/>
      </w:pPr>
      <w:r>
        <w:t>Google's higher CPC (S$0.71 versus S$0.66) is more than offset by its stronger conversion rate (2.1% versus 1.3%).</w:t>
      </w:r>
    </w:p>
    <w:p>
      <w:pPr>
        <w:pStyle w:val="ListBullet"/>
      </w:pPr>
      <w:r>
        <w:t>From January to June, Google revenue increased 61.1%, ROAS improved 13.7%, and CPA declined 7.0%.</w:t>
      </w:r>
    </w:p>
    <w:p>
      <w:r>
        <w:br w:type="page"/>
      </w:r>
    </w:p>
    <w:p>
      <w:pPr>
        <w:pStyle w:val="Heading1"/>
      </w:pPr>
      <w:r>
        <w:t>Funnel Diagnosis</w:t>
      </w:r>
    </w:p>
    <w:p>
      <w:r>
        <w:drawing>
          <wp:inline xmlns:a="http://schemas.openxmlformats.org/drawingml/2006/main" xmlns:pic="http://schemas.openxmlformats.org/drawingml/2006/picture">
            <wp:extent cx="5976000" cy="3013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nnel_r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Facebook issue is primarily post-click</w:t>
      </w:r>
    </w:p>
    <w:p>
      <w:pPr>
        <w:pStyle w:val="Insight"/>
      </w:pPr>
      <w:r>
        <w:t>Facebook's click-through rate stayed fixed at 1.60% and CPC remained approximately S$0.66, but its click-to-conversion rate fell from 1.50% in January to 1.10% in June. Over the same period, spend rose 50.0% while revenue and conversions grew only 9.9%. This pattern points more strongly to audience quality, offer/landing-page mismatch, conversion friction, or attribution quality than to rising traffic costs.</w:t>
      </w:r>
    </w:p>
    <w:p>
      <w:pPr>
        <w:pStyle w:val="Heading2"/>
      </w:pPr>
      <w:r>
        <w:t>Google shows healthy scaling</w:t>
      </w:r>
    </w:p>
    <w:p>
      <w:r>
        <w:t>Google's CTR remained at 2.00% while click-to-conversion rate improved from 2.00% to 2.15%. Revenue per conversion increased from S$350 to S$370 in June. The channel absorbed 41.7% more spend while revenue rose 61.1%, indicating improved average efficiency over the observed range.</w:t>
      </w:r>
    </w:p>
    <w:p>
      <w:pPr>
        <w:pStyle w:val="Heading2"/>
      </w:pPr>
      <w:r>
        <w:t>Data caveats</w:t>
      </w:r>
    </w:p>
    <w:p>
      <w:pPr>
        <w:pStyle w:val="ListBullet"/>
      </w:pPr>
      <w:r>
        <w:t>The dataset contains only 12 rows, six months, and two channels; no campaign, audience, creative, device, geography, or landing-page detail is available.</w:t>
      </w:r>
    </w:p>
    <w:p>
      <w:pPr>
        <w:pStyle w:val="ListBullet"/>
      </w:pPr>
      <w:r>
        <w:t>Revenue attribution method, conversion window, cancellations, refunds, and customer lifetime value are not provided.</w:t>
      </w:r>
    </w:p>
    <w:p>
      <w:pPr>
        <w:pStyle w:val="ListBullet"/>
      </w:pPr>
      <w:r>
        <w:t>The dataset is explicitly fictional; recommendations demonstrate analytical method rather than real-world business advice.</w:t>
      </w:r>
    </w:p>
    <w:p>
      <w:r>
        <w:br w:type="page"/>
      </w:r>
    </w:p>
    <w:p>
      <w:pPr>
        <w:pStyle w:val="Heading1"/>
      </w:pPr>
      <w:r>
        <w:t>Prioritized Recommendations</w:t>
      </w:r>
    </w:p>
    <w:p>
      <w:pPr>
        <w:pStyle w:val="Heading2"/>
      </w:pPr>
      <w:r>
        <w:t>1. Reallocate budget through a controlled test</w:t>
      </w:r>
    </w:p>
    <w:p>
      <w:pPr>
        <w:pStyle w:val="Recommendation"/>
      </w:pPr>
      <w:r>
        <w:t>Move up to 20% of aggregate Facebook spend (S$5,840) to Google in two 10% steps. At historical average efficiency, the full shift implies approximately S$25,570 incremental revenue and 54 incremental conversions. Treat these as scenario outputs; marginal efficiency may decline as Google scales.</w:t>
      </w:r>
    </w:p>
    <w:p>
      <w:pPr>
        <w:pStyle w:val="Heading2"/>
      </w:pPr>
      <w:r>
        <w:t>2. Stop scaling Facebook until conversion quality recovers</w:t>
      </w:r>
    </w:p>
    <w:p>
      <w:pPr>
        <w:pStyle w:val="ListBullet"/>
      </w:pPr>
      <w:r>
        <w:t>Hold Facebook budget at or below the current level during diagnosis; do not increase spend solely to maintain impression growth.</w:t>
      </w:r>
    </w:p>
    <w:p>
      <w:pPr>
        <w:pStyle w:val="ListBullet"/>
      </w:pPr>
      <w:r>
        <w:t>Set recovery gates of CPA ≤ S$45 and click-to-conversion rate ≥ 1.40% before resuming scale.</w:t>
      </w:r>
    </w:p>
    <w:p>
      <w:pPr>
        <w:pStyle w:val="ListBullet"/>
      </w:pPr>
      <w:r>
        <w:t>Audit conversion tracking, landing-page speed and form friction, audience expansion, placement mix, frequency, and creative fatigue.</w:t>
      </w:r>
    </w:p>
    <w:p>
      <w:pPr>
        <w:pStyle w:val="Heading2"/>
      </w:pPr>
      <w:r>
        <w:t>3. Scale Google incrementally and watch marginal returns</w:t>
      </w:r>
    </w:p>
    <w:p>
      <w:pPr>
        <w:pStyle w:val="ListBullet"/>
      </w:pPr>
      <w:r>
        <w:t>Increase Google budget in 10–15% steps, separated by enough time to observe conversion quality.</w:t>
      </w:r>
    </w:p>
    <w:p>
      <w:pPr>
        <w:pStyle w:val="ListBullet"/>
      </w:pPr>
      <w:r>
        <w:t>Use operating guardrails of ROAS ≥ 9.5x and CPA ≤ S$37; review search terms, match types, brand/non-brand mix, and device performance.</w:t>
      </w:r>
    </w:p>
    <w:p>
      <w:pPr>
        <w:pStyle w:val="ListBullet"/>
      </w:pPr>
      <w:r>
        <w:t>Measure marginal ROAS on each added budget tranche rather than relying only on the strong six-month average.</w:t>
      </w:r>
    </w:p>
    <w:p>
      <w:pPr>
        <w:pStyle w:val="Heading2"/>
      </w:pPr>
      <w:r>
        <w:t>4. Build a structured experimentation cadence</w:t>
      </w:r>
    </w:p>
    <w:p>
      <w:pPr>
        <w:pStyle w:val="ListBullet"/>
      </w:pPr>
      <w:r>
        <w:t>Run one clear Facebook test per week: audience, creative, landing page, then retargeting sequence.</w:t>
      </w:r>
    </w:p>
    <w:p>
      <w:pPr>
        <w:pStyle w:val="ListBullet"/>
      </w:pPr>
      <w:r>
        <w:t>Pre-register the primary KPI, minimum sample threshold, and stop rule; avoid changing multiple variables at once.</w:t>
      </w:r>
    </w:p>
    <w:p>
      <w:pPr>
        <w:pStyle w:val="ListBullet"/>
      </w:pPr>
      <w:r>
        <w:t>Record test cost, incremental conversions, CPA, conversion quality, and downstream booking value.</w:t>
      </w:r>
    </w:p>
    <w:p>
      <w:pPr>
        <w:pStyle w:val="Heading2"/>
      </w:pPr>
      <w:r>
        <w:t>5. Improve measurement and decision reporting</w:t>
      </w:r>
    </w:p>
    <w:p>
      <w:pPr>
        <w:pStyle w:val="ListBullet"/>
      </w:pPr>
      <w:r>
        <w:t>Add campaign/ad-set, device, audience, creative, landing-page, and booking-quality dimensions.</w:t>
      </w:r>
    </w:p>
    <w:p>
      <w:pPr>
        <w:pStyle w:val="ListBullet"/>
      </w:pPr>
      <w:r>
        <w:t>Report attributed revenue alongside cancellations, refunds, gross margin, and customer lifetime value.</w:t>
      </w:r>
    </w:p>
    <w:p>
      <w:pPr>
        <w:pStyle w:val="ListBullet"/>
      </w:pPr>
      <w:r>
        <w:t>Use a weekly dashboard with spend, marginal ROAS, CPA, CTR, conversion rate, and budget pacing by channel.</w:t>
      </w:r>
    </w:p>
    <w:p>
      <w:r>
        <w:br w:type="page"/>
      </w:r>
    </w:p>
    <w:p>
      <w:pPr>
        <w:pStyle w:val="Heading1"/>
      </w:pPr>
      <w:r>
        <w:t>30-Day Action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43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438"/>
          </w:tcPr>
          <w:p>
            <w:r>
              <w:rPr>
                <w:b/>
              </w:rPr>
              <w:t>Owner / output</w:t>
            </w:r>
          </w:p>
        </w:tc>
        <w:tc>
          <w:tcPr>
            <w:tcW w:type="dxa" w:w="2438"/>
          </w:tcPr>
          <w:p>
            <w:r>
              <w:rPr>
                <w:b/>
              </w:rPr>
              <w:t>Success measure</w:t>
            </w:r>
          </w:p>
        </w:tc>
      </w:tr>
      <w:tr>
        <w:tc>
          <w:tcPr>
            <w:tcW w:type="dxa" w:w="2438"/>
          </w:tcPr>
          <w:p>
            <w:r>
              <w:t>Days 1–3</w:t>
            </w:r>
          </w:p>
        </w:tc>
        <w:tc>
          <w:tcPr>
            <w:tcW w:type="dxa" w:w="2438"/>
          </w:tcPr>
          <w:p>
            <w:r>
              <w:t>Verify conversion tracking, attribution window, and revenue reconciliation</w:t>
            </w:r>
          </w:p>
        </w:tc>
        <w:tc>
          <w:tcPr>
            <w:tcW w:type="dxa" w:w="2438"/>
          </w:tcPr>
          <w:p>
            <w:r>
              <w:t>Marketing + analytics audit</w:t>
            </w:r>
          </w:p>
        </w:tc>
        <w:tc>
          <w:tcPr>
            <w:tcW w:type="dxa" w:w="2438"/>
          </w:tcPr>
          <w:p>
            <w:r>
              <w:t>No unexplained conversion or revenue gaps</w:t>
            </w:r>
          </w:p>
        </w:tc>
      </w:tr>
      <w:tr>
        <w:tc>
          <w:tcPr>
            <w:tcW w:type="dxa" w:w="2438"/>
          </w:tcPr>
          <w:p>
            <w:r>
              <w:t>Days 4–7</w:t>
            </w:r>
          </w:p>
        </w:tc>
        <w:tc>
          <w:tcPr>
            <w:tcW w:type="dxa" w:w="2438"/>
          </w:tcPr>
          <w:p>
            <w:r>
              <w:t>Freeze Facebook increases; segment by audience, placement, device, and landing page</w:t>
            </w:r>
          </w:p>
        </w:tc>
        <w:tc>
          <w:tcPr>
            <w:tcW w:type="dxa" w:w="2438"/>
          </w:tcPr>
          <w:p>
            <w:r>
              <w:t>Diagnostic cut of Facebook performance</w:t>
            </w:r>
          </w:p>
        </w:tc>
        <w:tc>
          <w:tcPr>
            <w:tcW w:type="dxa" w:w="2438"/>
          </w:tcPr>
          <w:p>
            <w:r>
              <w:t>Root-cause shortlist</w:t>
            </w:r>
          </w:p>
        </w:tc>
      </w:tr>
      <w:tr>
        <w:tc>
          <w:tcPr>
            <w:tcW w:type="dxa" w:w="2438"/>
          </w:tcPr>
          <w:p>
            <w:r>
              <w:t>Week 2</w:t>
            </w:r>
          </w:p>
        </w:tc>
        <w:tc>
          <w:tcPr>
            <w:tcW w:type="dxa" w:w="2438"/>
          </w:tcPr>
          <w:p>
            <w:r>
              <w:t>Shift first 10% budget tranche to Google; launch Facebook landing-page test</w:t>
            </w:r>
          </w:p>
        </w:tc>
        <w:tc>
          <w:tcPr>
            <w:tcW w:type="dxa" w:w="2438"/>
          </w:tcPr>
          <w:p>
            <w:r>
              <w:t>Controlled budget test</w:t>
            </w:r>
          </w:p>
        </w:tc>
        <w:tc>
          <w:tcPr>
            <w:tcW w:type="dxa" w:w="2438"/>
          </w:tcPr>
          <w:p>
            <w:r>
              <w:t>Google marginal ROAS ≥ 9.5x</w:t>
            </w:r>
          </w:p>
        </w:tc>
      </w:tr>
      <w:tr>
        <w:tc>
          <w:tcPr>
            <w:tcW w:type="dxa" w:w="2438"/>
          </w:tcPr>
          <w:p>
            <w:r>
              <w:t>Week 3</w:t>
            </w:r>
          </w:p>
        </w:tc>
        <w:tc>
          <w:tcPr>
            <w:tcW w:type="dxa" w:w="2438"/>
          </w:tcPr>
          <w:p>
            <w:r>
              <w:t>Evaluate first tranche; run Facebook creative/audience test</w:t>
            </w:r>
          </w:p>
        </w:tc>
        <w:tc>
          <w:tcPr>
            <w:tcW w:type="dxa" w:w="2438"/>
          </w:tcPr>
          <w:p>
            <w:r>
              <w:t>Test readout</w:t>
            </w:r>
          </w:p>
        </w:tc>
        <w:tc>
          <w:tcPr>
            <w:tcW w:type="dxa" w:w="2438"/>
          </w:tcPr>
          <w:p>
            <w:r>
              <w:t>Facebook CPA trends toward ≤ S$45</w:t>
            </w:r>
          </w:p>
        </w:tc>
      </w:tr>
      <w:tr>
        <w:tc>
          <w:tcPr>
            <w:tcW w:type="dxa" w:w="2438"/>
          </w:tcPr>
          <w:p>
            <w:r>
              <w:t>Week 4</w:t>
            </w:r>
          </w:p>
        </w:tc>
        <w:tc>
          <w:tcPr>
            <w:tcW w:type="dxa" w:w="2438"/>
          </w:tcPr>
          <w:p>
            <w:r>
              <w:t>Apply or reverse second 10% shift; publish operating dashboard</w:t>
            </w:r>
          </w:p>
        </w:tc>
        <w:tc>
          <w:tcPr>
            <w:tcW w:type="dxa" w:w="2438"/>
          </w:tcPr>
          <w:p>
            <w:r>
              <w:t>Budget decision and dashboard</w:t>
            </w:r>
          </w:p>
        </w:tc>
        <w:tc>
          <w:tcPr>
            <w:tcW w:type="dxa" w:w="2438"/>
          </w:tcPr>
          <w:p>
            <w:r>
              <w:t>Portfolio CPA ≤ S$39.34 with stable quality</w:t>
            </w:r>
          </w:p>
        </w:tc>
      </w:tr>
    </w:tbl>
    <w:p>
      <w:pPr>
        <w:pStyle w:val="Heading2"/>
      </w:pPr>
      <w:r>
        <w:t>Decision rules</w:t>
      </w:r>
    </w:p>
    <w:p>
      <w:pPr>
        <w:pStyle w:val="ListBullet"/>
      </w:pPr>
      <w:r>
        <w:t>Scale a channel only when marginal—not average—ROAS and CPA remain within guardrails.</w:t>
      </w:r>
    </w:p>
    <w:p>
      <w:pPr>
        <w:pStyle w:val="ListBullet"/>
      </w:pPr>
      <w:r>
        <w:t>Reverse budget changes if conversion quality or downstream revenue declines.</w:t>
      </w:r>
    </w:p>
    <w:p>
      <w:pPr>
        <w:pStyle w:val="ListBullet"/>
      </w:pPr>
      <w:r>
        <w:t>Do not declare a Facebook recovery from CTR alone; require improvement in click-to-conversion rate and CPA.</w:t>
      </w:r>
    </w:p>
    <w:p>
      <w:pPr>
        <w:pStyle w:val="Heading2"/>
      </w:pPr>
      <w:r>
        <w:t>Expected outcome</w:t>
      </w:r>
    </w:p>
    <w:p>
      <w:pPr>
        <w:pStyle w:val="Recommendation"/>
      </w:pPr>
      <w:r>
        <w:t>The recommended approach protects current profitability while creating evidence for a more efficient channel mix. It prioritizes reversible tests over a one-time permanent budget move.</w:t>
      </w:r>
    </w:p>
    <w:p>
      <w:pPr>
        <w:pStyle w:val="Heading1"/>
      </w:pPr>
      <w:r>
        <w:t>Methodology and Definitions</w:t>
      </w:r>
    </w:p>
    <w:p>
      <w:r>
        <w:t>Source: MOCK-MARKETING-DATA.xlsx, “Marketing Data” and “Read Me” sheets. Coverage: January–June 2026. Channels: Google Ads and Facebook Ads. Evidence status: SIM (fictional training data).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76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4876"/>
          </w:tcPr>
          <w:p>
            <w:r>
              <w:t>ROAS</w:t>
            </w:r>
          </w:p>
        </w:tc>
        <w:tc>
          <w:tcPr>
            <w:tcW w:type="dxa" w:w="4876"/>
          </w:tcPr>
          <w:p>
            <w:r>
              <w:t>Revenue / Spend</w:t>
            </w:r>
          </w:p>
        </w:tc>
      </w:tr>
      <w:tr>
        <w:tc>
          <w:tcPr>
            <w:tcW w:type="dxa" w:w="4876"/>
          </w:tcPr>
          <w:p>
            <w:r>
              <w:t>ROI percentage</w:t>
            </w:r>
          </w:p>
        </w:tc>
        <w:tc>
          <w:tcPr>
            <w:tcW w:type="dxa" w:w="4876"/>
          </w:tcPr>
          <w:p>
            <w:r>
              <w:t>(Revenue − Spend) / Spend</w:t>
            </w:r>
          </w:p>
        </w:tc>
      </w:tr>
      <w:tr>
        <w:tc>
          <w:tcPr>
            <w:tcW w:type="dxa" w:w="4876"/>
          </w:tcPr>
          <w:p>
            <w:r>
              <w:t>CTR</w:t>
            </w:r>
          </w:p>
        </w:tc>
        <w:tc>
          <w:tcPr>
            <w:tcW w:type="dxa" w:w="4876"/>
          </w:tcPr>
          <w:p>
            <w:r>
              <w:t>Clicks / Impressions</w:t>
            </w:r>
          </w:p>
        </w:tc>
      </w:tr>
      <w:tr>
        <w:tc>
          <w:tcPr>
            <w:tcW w:type="dxa" w:w="4876"/>
          </w:tcPr>
          <w:p>
            <w:r>
              <w:t>Click-to-conversion rate</w:t>
            </w:r>
          </w:p>
        </w:tc>
        <w:tc>
          <w:tcPr>
            <w:tcW w:type="dxa" w:w="4876"/>
          </w:tcPr>
          <w:p>
            <w:r>
              <w:t>Conversions / Clicks</w:t>
            </w:r>
          </w:p>
        </w:tc>
      </w:tr>
      <w:tr>
        <w:tc>
          <w:tcPr>
            <w:tcW w:type="dxa" w:w="4876"/>
          </w:tcPr>
          <w:p>
            <w:r>
              <w:t>CPC</w:t>
            </w:r>
          </w:p>
        </w:tc>
        <w:tc>
          <w:tcPr>
            <w:tcW w:type="dxa" w:w="4876"/>
          </w:tcPr>
          <w:p>
            <w:r>
              <w:t>Spend / Clicks</w:t>
            </w:r>
          </w:p>
        </w:tc>
      </w:tr>
      <w:tr>
        <w:tc>
          <w:tcPr>
            <w:tcW w:type="dxa" w:w="4876"/>
          </w:tcPr>
          <w:p>
            <w:r>
              <w:t>Cost per conversion</w:t>
            </w:r>
          </w:p>
        </w:tc>
        <w:tc>
          <w:tcPr>
            <w:tcW w:type="dxa" w:w="4876"/>
          </w:tcPr>
          <w:p>
            <w:r>
              <w:t>Spend / Conversions</w:t>
            </w:r>
          </w:p>
        </w:tc>
      </w:tr>
      <w:tr>
        <w:tc>
          <w:tcPr>
            <w:tcW w:type="dxa" w:w="4876"/>
          </w:tcPr>
          <w:p>
            <w:r>
              <w:t>Revenue per conversion</w:t>
            </w:r>
          </w:p>
        </w:tc>
        <w:tc>
          <w:tcPr>
            <w:tcW w:type="dxa" w:w="4876"/>
          </w:tcPr>
          <w:p>
            <w:r>
              <w:t>Revenue / Conversions</w:t>
            </w:r>
          </w:p>
        </w:tc>
      </w:tr>
    </w:tbl>
    <w:p>
      <w:pPr>
        <w:pStyle w:val="Note"/>
      </w:pPr>
      <w:r>
        <w:t>Data quality checks: 12 marketing rows; no missing cells, duplicate rows, or negative numeric values. Metrics were aggregated with ratio-of-totals calculations rather than averaging row-level ratios. Scenario estimates assume historical average efficiency remains constant and therefore exclude saturation, incrementality, attribution changes, and seasonality.</w:t>
      </w:r>
    </w:p>
    <w:p>
      <w:pPr>
        <w:pStyle w:val="Meta"/>
      </w:pPr>
      <w:r>
        <w:t>© 2026 Tertiary Infotech Pte Ltd — Training use only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Confidential training report  •  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Sunset Bay Resort Singapore | Marketing Performance Analysis | Simulation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basedOn w:val="Normal"/>
    <w:rPr>
      <w:rFonts w:ascii="Arial" w:hAnsi="Arial"/>
      <w:b/>
      <w:color w:val="0F766E"/>
      <w:sz w:val="20"/>
    </w:rPr>
  </w:style>
  <w:style w:type="paragraph" w:customStyle="1" w:styleId="ReportTitle">
    <w:name w:val="ReportTitle"/>
    <w:basedOn w:val="Title"/>
    <w:rPr>
      <w:rFonts w:ascii="Arial" w:hAnsi="Arial"/>
      <w:b/>
      <w:color w:val="0F172A"/>
      <w:sz w:val="60"/>
    </w:rPr>
  </w:style>
  <w:style w:type="paragraph" w:customStyle="1" w:styleId="ReportSubtitle">
    <w:name w:val="ReportSubtitle"/>
    <w:basedOn w:val="Normal"/>
    <w:rPr>
      <w:rFonts w:ascii="Arial" w:hAnsi="Arial"/>
      <w:color w:val="475569"/>
      <w:sz w:val="30"/>
    </w:rPr>
  </w:style>
  <w:style w:type="paragraph" w:customStyle="1" w:styleId="Callout">
    <w:name w:val="Callout"/>
    <w:basedOn w:val="Normal"/>
    <w:rPr>
      <w:rFonts w:ascii="Arial" w:hAnsi="Arial"/>
      <w:b/>
      <w:color w:val="C2410C"/>
      <w:sz w:val="22"/>
    </w:rPr>
  </w:style>
  <w:style w:type="paragraph" w:customStyle="1" w:styleId="Meta">
    <w:name w:val="Meta"/>
    <w:basedOn w:val="Normal"/>
    <w:rPr>
      <w:rFonts w:ascii="Arial" w:hAnsi="Arial"/>
      <w:color w:val="64748B"/>
      <w:sz w:val="18"/>
    </w:rPr>
  </w:style>
  <w:style w:type="paragraph" w:customStyle="1" w:styleId="Lead">
    <w:name w:val="Lead"/>
    <w:basedOn w:val="Normal"/>
    <w:rPr>
      <w:rFonts w:ascii="Arial" w:hAnsi="Arial"/>
      <w:b/>
      <w:color w:val="1E293B"/>
      <w:sz w:val="24"/>
    </w:rPr>
  </w:style>
  <w:style w:type="paragraph" w:customStyle="1" w:styleId="Recommendation">
    <w:name w:val="Recommendation"/>
    <w:basedOn w:val="Normal"/>
    <w:rPr>
      <w:rFonts w:ascii="Arial" w:hAnsi="Arial"/>
      <w:b/>
      <w:color w:val="0F766E"/>
      <w:sz w:val="22"/>
    </w:rPr>
  </w:style>
  <w:style w:type="paragraph" w:customStyle="1" w:styleId="Insight">
    <w:name w:val="Insight"/>
    <w:basedOn w:val="Normal"/>
    <w:rPr>
      <w:rFonts w:ascii="Arial" w:hAnsi="Arial"/>
      <w:b/>
      <w:color w:val="0F172A"/>
      <w:sz w:val="22"/>
    </w:rPr>
  </w:style>
  <w:style w:type="paragraph" w:customStyle="1" w:styleId="Note">
    <w:name w:val="Note"/>
    <w:basedOn w:val="Normal"/>
    <w:rPr>
      <w:rFonts w:ascii="Arial" w:hAnsi="Arial"/>
      <w:i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