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AI Security for Autonomous AI Agents</w:t>
      </w:r>
    </w:p>
    <w:p>
      <w:pPr>
        <w:spacing w:before="80" w:after="280"/>
        <w:jc w:val="center"/>
      </w:pPr>
      <w:r>
        <w:rPr>
          <w:b w:val="0"/>
          <w:color w:val="111827"/>
          <w:sz w:val="24"/>
        </w:rPr>
        <w:t>TGS Ref No: TGS-2025060473</w:t>
      </w:r>
    </w:p>
    <w:p>
      <w:pPr>
        <w:spacing w:before="0" w:after="40"/>
        <w:jc w:val="center"/>
      </w:pPr>
      <w:r>
        <w:rPr>
          <w:b w:val="0"/>
          <w:color w:val="555B66"/>
          <w:sz w:val="22"/>
        </w:rPr>
        <w:t>Conducted by</w:t>
      </w:r>
    </w:p>
    <w:p>
      <w:pPr>
        <w:spacing w:before="0" w:after="40"/>
        <w:jc w:val="center"/>
      </w:pPr>
      <w:r>
        <w:rPr>
          <w:b/>
          <w:color w:val="111827"/>
          <w:sz w:val="26"/>
        </w:rPr>
        <w:t>Tertiary Infotech Pte Ltd</w:t>
      </w:r>
    </w:p>
    <w:p>
      <w:pPr>
        <w:spacing w:before="0" w:after="240"/>
        <w:jc w:val="center"/>
      </w:pPr>
      <w:r>
        <w:rPr>
          <w:b w:val="0"/>
          <w:color w:val="555B66"/>
          <w:sz w:val="22"/>
        </w:rPr>
        <w:t>UEN: 201200696W</w:t>
      </w:r>
    </w:p>
    <w:p>
      <w:pPr>
        <w:spacing w:before="0" w:after="80"/>
        <w:jc w:val="center"/>
      </w:pPr>
      <w:r>
        <w:rPr>
          <w:b/>
          <w:color w:val="1F6FEB"/>
          <w:sz w:val="24"/>
        </w:rPr>
        <w:t>Version 4.14</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16 June 2025</w:t>
            </w:r>
          </w:p>
        </w:tc>
        <w:tc>
          <w:tcPr>
            <w:tcW w:type="dxa" w:w="2160"/>
          </w:tcPr>
          <w:p>
            <w:r/>
            <w:r>
              <w:rPr>
                <w:sz w:val="19"/>
              </w:rPr>
              <w:t>Initial release.</w:t>
            </w:r>
          </w:p>
        </w:tc>
        <w:tc>
          <w:tcPr>
            <w:tcW w:type="dxa" w:w="2160"/>
          </w:tcPr>
          <w:p>
            <w:r/>
            <w:r>
              <w:rPr>
                <w:sz w:val="19"/>
              </w:rPr>
              <w:t>Dr Alfred Ang</w:t>
            </w:r>
          </w:p>
        </w:tc>
      </w:tr>
      <w:tr>
        <w:tc>
          <w:tcPr>
            <w:tcW w:type="dxa" w:w="2160"/>
          </w:tcPr>
          <w:p>
            <w:r/>
            <w:r>
              <w:rPr>
                <w:sz w:val="19"/>
              </w:rPr>
              <w:t>2.0</w:t>
            </w:r>
          </w:p>
        </w:tc>
        <w:tc>
          <w:tcPr>
            <w:tcW w:type="dxa" w:w="2160"/>
          </w:tcPr>
          <w:p>
            <w:r/>
            <w:r>
              <w:rPr>
                <w:sz w:val="19"/>
              </w:rPr>
              <w:t>17 August 2026</w:t>
            </w:r>
          </w:p>
        </w:tc>
        <w:tc>
          <w:tcPr>
            <w:tcW w:type="dxa" w:w="2160"/>
          </w:tcPr>
          <w:p>
            <w:r/>
            <w:r>
              <w:rPr>
                <w:sz w:val="19"/>
              </w:rPr>
              <w:t>Retitled and rebuilt for autonomous-agent security; five activities added. TSC K/A text unchanged.</w:t>
            </w:r>
          </w:p>
        </w:tc>
        <w:tc>
          <w:tcPr>
            <w:tcW w:type="dxa" w:w="2160"/>
          </w:tcPr>
          <w:p>
            <w:r/>
            <w:r>
              <w:rPr>
                <w:sz w:val="19"/>
              </w:rPr>
              <w:t>Dr Alfred Ang</w:t>
            </w:r>
          </w:p>
        </w:tc>
      </w:tr>
      <w:tr>
        <w:tc>
          <w:tcPr>
            <w:tcW w:type="dxa" w:w="2160"/>
          </w:tcPr>
          <w:p>
            <w:r/>
            <w:r>
              <w:rPr>
                <w:sz w:val="19"/>
              </w:rPr>
              <w:t>2.1</w:t>
            </w:r>
          </w:p>
        </w:tc>
        <w:tc>
          <w:tcPr>
            <w:tcW w:type="dxa" w:w="2160"/>
          </w:tcPr>
          <w:p>
            <w:r/>
            <w:r>
              <w:rPr>
                <w:sz w:val="19"/>
              </w:rPr>
              <w:t>18 August 2026</w:t>
            </w:r>
          </w:p>
        </w:tc>
        <w:tc>
          <w:tcPr>
            <w:tcW w:type="dxa" w:w="2160"/>
          </w:tcPr>
          <w:p>
            <w:r/>
            <w:r>
              <w:rPr>
                <w:sz w:val="19"/>
              </w:rPr>
              <w:t>Added prompt-injection, PDPA, guardrail, approval, skill/plugin and visual coverage. TSC K/A text unchanged.</w:t>
            </w:r>
          </w:p>
        </w:tc>
        <w:tc>
          <w:tcPr>
            <w:tcW w:type="dxa" w:w="2160"/>
          </w:tcPr>
          <w:p>
            <w:r/>
            <w:r>
              <w:rPr>
                <w:sz w:val="19"/>
              </w:rPr>
              <w:t>Dr Alfred Ang</w:t>
            </w:r>
          </w:p>
        </w:tc>
      </w:tr>
      <w:tr>
        <w:tc>
          <w:tcPr>
            <w:tcW w:type="dxa" w:w="2160"/>
          </w:tcPr>
          <w:p>
            <w:r/>
            <w:r>
              <w:rPr>
                <w:sz w:val="19"/>
              </w:rPr>
              <w:t>3.0</w:t>
            </w:r>
          </w:p>
        </w:tc>
        <w:tc>
          <w:tcPr>
            <w:tcW w:type="dxa" w:w="2160"/>
          </w:tcPr>
          <w:p>
            <w:r/>
            <w:r>
              <w:rPr>
                <w:sz w:val="19"/>
              </w:rPr>
              <w:t>20 August 2026</w:t>
            </w:r>
          </w:p>
        </w:tc>
        <w:tc>
          <w:tcPr>
            <w:tcW w:type="dxa" w:w="2160"/>
          </w:tcPr>
          <w:p>
            <w:r/>
            <w:r>
              <w:rPr>
                <w:sz w:val="19"/>
              </w:rPr>
              <w:t>Evidence-grounded 207-slide rebuild with product boundaries, cases, controls, activities and source register. TSC K/A text unchanged.</w:t>
            </w:r>
          </w:p>
        </w:tc>
        <w:tc>
          <w:tcPr>
            <w:tcW w:type="dxa" w:w="2160"/>
          </w:tcPr>
          <w:p>
            <w:r/>
            <w:r>
              <w:rPr>
                <w:sz w:val="19"/>
              </w:rPr>
              <w:t>Dr Alfred Ang</w:t>
            </w:r>
          </w:p>
        </w:tc>
      </w:tr>
      <w:tr>
        <w:tc>
          <w:tcPr>
            <w:tcW w:type="dxa" w:w="2160"/>
          </w:tcPr>
          <w:p>
            <w:r/>
            <w:r>
              <w:rPr>
                <w:sz w:val="19"/>
              </w:rPr>
              <w:t>4.0</w:t>
            </w:r>
          </w:p>
        </w:tc>
        <w:tc>
          <w:tcPr>
            <w:tcW w:type="dxa" w:w="2160"/>
          </w:tcPr>
          <w:p>
            <w:r/>
            <w:r>
              <w:rPr>
                <w:sz w:val="19"/>
              </w:rPr>
              <w:t>25 August 2026</w:t>
            </w:r>
          </w:p>
        </w:tc>
        <w:tc>
          <w:tcPr>
            <w:tcW w:type="dxa" w:w="2160"/>
          </w:tcPr>
          <w:p>
            <w:r/>
            <w:r>
              <w:rPr>
                <w:sz w:val="19"/>
              </w:rPr>
              <w:t>Rebuilt as a 1-day course with three LO-aligned topics, eight no-code activities and a reflection-based practical assessment. TSC K/A text unchanged.</w:t>
            </w:r>
          </w:p>
        </w:tc>
        <w:tc>
          <w:tcPr>
            <w:tcW w:type="dxa" w:w="2160"/>
          </w:tcPr>
          <w:p>
            <w:r/>
            <w:r>
              <w:rPr>
                <w:sz w:val="19"/>
              </w:rPr>
              <w:t>Dr Alfred Ang</w:t>
            </w:r>
          </w:p>
        </w:tc>
      </w:tr>
      <w:tr>
        <w:tc>
          <w:tcPr>
            <w:tcW w:type="dxa" w:w="2160"/>
          </w:tcPr>
          <w:p>
            <w:r/>
            <w:r>
              <w:rPr>
                <w:sz w:val="19"/>
              </w:rPr>
              <w:t>4.1</w:t>
            </w:r>
          </w:p>
        </w:tc>
        <w:tc>
          <w:tcPr>
            <w:tcW w:type="dxa" w:w="2160"/>
          </w:tcPr>
          <w:p>
            <w:r/>
            <w:r>
              <w:rPr>
                <w:sz w:val="19"/>
              </w:rPr>
              <w:t>25 August 2026</w:t>
            </w:r>
          </w:p>
        </w:tc>
        <w:tc>
          <w:tcPr>
            <w:tcW w:type="dxa" w:w="2160"/>
          </w:tcPr>
          <w:p>
            <w:r/>
            <w:r>
              <w:rPr>
                <w:sz w:val="19"/>
              </w:rPr>
              <w:t>Refreshed trainer visuals and embedded the YouTube Online Video; scope, timing and TSC K/A text unchanged.</w:t>
            </w:r>
          </w:p>
        </w:tc>
        <w:tc>
          <w:tcPr>
            <w:tcW w:type="dxa" w:w="2160"/>
          </w:tcPr>
          <w:p>
            <w:r/>
            <w:r>
              <w:rPr>
                <w:sz w:val="19"/>
              </w:rPr>
              <w:t>Dr Alfred Ang</w:t>
            </w:r>
          </w:p>
        </w:tc>
      </w:tr>
      <w:tr>
        <w:tc>
          <w:tcPr>
            <w:tcW w:type="dxa" w:w="2160"/>
          </w:tcPr>
          <w:p>
            <w:r/>
            <w:r>
              <w:rPr>
                <w:sz w:val="19"/>
              </w:rPr>
              <w:t>4.2</w:t>
            </w:r>
          </w:p>
        </w:tc>
        <w:tc>
          <w:tcPr>
            <w:tcW w:type="dxa" w:w="2160"/>
          </w:tcPr>
          <w:p>
            <w:r/>
            <w:r>
              <w:rPr>
                <w:sz w:val="19"/>
              </w:rPr>
              <w:t>25 August 2026</w:t>
            </w:r>
          </w:p>
        </w:tc>
        <w:tc>
          <w:tcPr>
            <w:tcW w:type="dxa" w:w="2160"/>
          </w:tcPr>
          <w:p>
            <w:r/>
            <w:r>
              <w:rPr>
                <w:sz w:val="19"/>
              </w:rPr>
              <w:t>Added coding-harness and latest-AI-agents reference slides to the deck (Claude Code, Codex, DeepSeek Harness; OpenClaw, Hermes, Prime Agent, OpenWorker, QM). Schedule and TSC K/A text unchanged.</w:t>
            </w:r>
          </w:p>
        </w:tc>
        <w:tc>
          <w:tcPr>
            <w:tcW w:type="dxa" w:w="2160"/>
          </w:tcPr>
          <w:p>
            <w:r/>
            <w:r>
              <w:rPr>
                <w:sz w:val="19"/>
              </w:rPr>
              <w:t>Dr Alfred Ang</w:t>
            </w:r>
          </w:p>
        </w:tc>
      </w:tr>
      <w:tr>
        <w:tc>
          <w:tcPr>
            <w:tcW w:type="dxa" w:w="2160"/>
          </w:tcPr>
          <w:p>
            <w:r/>
            <w:r>
              <w:rPr>
                <w:sz w:val="19"/>
              </w:rPr>
              <w:t>4.3</w:t>
            </w:r>
          </w:p>
        </w:tc>
        <w:tc>
          <w:tcPr>
            <w:tcW w:type="dxa" w:w="2160"/>
          </w:tcPr>
          <w:p>
            <w:r/>
            <w:r>
              <w:rPr>
                <w:sz w:val="19"/>
              </w:rPr>
              <w:t>25 August 2026</w:t>
            </w:r>
          </w:p>
        </w:tc>
        <w:tc>
          <w:tcPr>
            <w:tcW w:type="dxa" w:w="2160"/>
          </w:tcPr>
          <w:p>
            <w:r/>
            <w:r>
              <w:rPr>
                <w:sz w:val="19"/>
              </w:rPr>
              <w:t>Beefed up Topic 3 with Singapore AI case studies (adoption vs cybersecurity, gen-AI brand damage, agentic testing, healthcare AgentSea), a brand-damage discussion/debrief, a 'Key Challenges of AI to Business' capstone and a visual multi-agent map. Schedule and TSC K/A text unchanged.</w:t>
            </w:r>
          </w:p>
        </w:tc>
        <w:tc>
          <w:tcPr>
            <w:tcW w:type="dxa" w:w="2160"/>
          </w:tcPr>
          <w:p>
            <w:r/>
            <w:r>
              <w:rPr>
                <w:sz w:val="19"/>
              </w:rPr>
              <w:t>Dr Alfred Ang</w:t>
            </w:r>
          </w:p>
        </w:tc>
      </w:tr>
      <w:tr>
        <w:tc>
          <w:tcPr>
            <w:tcW w:type="dxa" w:w="2160"/>
          </w:tcPr>
          <w:p>
            <w:r/>
            <w:r>
              <w:rPr>
                <w:sz w:val="19"/>
              </w:rPr>
              <w:t>4.4</w:t>
            </w:r>
          </w:p>
        </w:tc>
        <w:tc>
          <w:tcPr>
            <w:tcW w:type="dxa" w:w="2160"/>
          </w:tcPr>
          <w:p>
            <w:r/>
            <w:r>
              <w:rPr>
                <w:sz w:val="19"/>
              </w:rPr>
              <w:t>25 August 2026</w:t>
            </w:r>
          </w:p>
        </w:tc>
        <w:tc>
          <w:tcPr>
            <w:tcW w:type="dxa" w:w="2160"/>
          </w:tcPr>
          <w:p>
            <w:r/>
            <w:r>
              <w:rPr>
                <w:sz w:val="19"/>
              </w:rPr>
              <w:t>Activity 5 rebuilt around the AI Data Policy Generator website (learner-supplied training API key, 7-part IMDA/PDPA-aligned policy framework). Slides, LG and activity pack aligned; added a worked-example slide with concrete Scope, Roles, Rules and Review examples. Schedule timing and TSC K/A text unchanged.</w:t>
            </w:r>
          </w:p>
        </w:tc>
        <w:tc>
          <w:tcPr>
            <w:tcW w:type="dxa" w:w="2160"/>
          </w:tcPr>
          <w:p>
            <w:r/>
            <w:r>
              <w:rPr>
                <w:sz w:val="19"/>
              </w:rPr>
              <w:t>Dr Alfred Ang</w:t>
            </w:r>
          </w:p>
        </w:tc>
      </w:tr>
      <w:tr>
        <w:tc>
          <w:tcPr>
            <w:tcW w:type="dxa" w:w="2160"/>
          </w:tcPr>
          <w:p>
            <w:r/>
            <w:r>
              <w:rPr>
                <w:sz w:val="19"/>
              </w:rPr>
              <w:t>4.5</w:t>
            </w:r>
          </w:p>
        </w:tc>
        <w:tc>
          <w:tcPr>
            <w:tcW w:type="dxa" w:w="2160"/>
          </w:tcPr>
          <w:p>
            <w:r/>
            <w:r>
              <w:rPr>
                <w:sz w:val="19"/>
              </w:rPr>
              <w:t>25 August 2026</w:t>
            </w:r>
          </w:p>
        </w:tc>
        <w:tc>
          <w:tcPr>
            <w:tcW w:type="dxa" w:w="2160"/>
          </w:tcPr>
          <w:p>
            <w:r/>
            <w:r>
              <w:rPr>
                <w:sz w:val="19"/>
              </w:rPr>
              <w:t>Added Topic 1 slide 'Probabilistic Output — Why Traditional Security Struggles' contrasting deterministic software with probabilistic LLM output and the challenge to rule-based defences. Schedule timing and TSC K/A text unchanged.</w:t>
            </w:r>
          </w:p>
        </w:tc>
        <w:tc>
          <w:tcPr>
            <w:tcW w:type="dxa" w:w="2160"/>
          </w:tcPr>
          <w:p>
            <w:r/>
            <w:r>
              <w:rPr>
                <w:sz w:val="19"/>
              </w:rPr>
              <w:t>Dr Alfred Ang</w:t>
            </w:r>
          </w:p>
        </w:tc>
      </w:tr>
      <w:tr>
        <w:tc>
          <w:tcPr>
            <w:tcW w:type="dxa" w:w="2160"/>
          </w:tcPr>
          <w:p>
            <w:r/>
            <w:r>
              <w:rPr>
                <w:sz w:val="19"/>
              </w:rPr>
              <w:t>4.6</w:t>
            </w:r>
          </w:p>
        </w:tc>
        <w:tc>
          <w:tcPr>
            <w:tcW w:type="dxa" w:w="2160"/>
          </w:tcPr>
          <w:p>
            <w:r/>
            <w:r>
              <w:rPr>
                <w:sz w:val="19"/>
              </w:rPr>
              <w:t>25 August 2026</w:t>
            </w:r>
          </w:p>
        </w:tc>
        <w:tc>
          <w:tcPr>
            <w:tcW w:type="dxa" w:w="2160"/>
          </w:tcPr>
          <w:p>
            <w:r/>
            <w:r>
              <w:rPr>
                <w:sz w:val="19"/>
              </w:rPr>
              <w:t>Added Topic 1 slide 'When the Loop Goes Wrong — Misreading the Goal' after the concrete agentic-loop example: an open-ended 'remove the malware at all costs' goal escalates to wiping every file, motivating the Topic 3 guardrails. Schedule timing and TSC K/A text unchanged.</w:t>
            </w:r>
          </w:p>
        </w:tc>
        <w:tc>
          <w:tcPr>
            <w:tcW w:type="dxa" w:w="2160"/>
          </w:tcPr>
          <w:p>
            <w:r/>
            <w:r>
              <w:rPr>
                <w:sz w:val="19"/>
              </w:rPr>
              <w:t>Dr Alfred Ang</w:t>
            </w:r>
          </w:p>
        </w:tc>
      </w:tr>
      <w:tr>
        <w:tc>
          <w:tcPr>
            <w:tcW w:type="dxa" w:w="2160"/>
          </w:tcPr>
          <w:p>
            <w:r/>
            <w:r>
              <w:rPr>
                <w:sz w:val="19"/>
              </w:rPr>
              <w:t>4.7</w:t>
            </w:r>
          </w:p>
        </w:tc>
        <w:tc>
          <w:tcPr>
            <w:tcW w:type="dxa" w:w="2160"/>
          </w:tcPr>
          <w:p>
            <w:r/>
            <w:r>
              <w:rPr>
                <w:sz w:val="19"/>
              </w:rPr>
              <w:t>25 August 2026</w:t>
            </w:r>
          </w:p>
        </w:tc>
        <w:tc>
          <w:tcPr>
            <w:tcW w:type="dxa" w:w="2160"/>
          </w:tcPr>
          <w:p>
            <w:r/>
            <w:r>
              <w:rPr>
                <w:sz w:val="19"/>
              </w:rPr>
              <w:t>Added Topic 1 slide 'An Agent on WhatsApp Is Exposed to the Internet' after the TIA Support slide: a public messaging agent accepts messages from anyone, so prompt injection and data poisoning can extract confidential data or harm the server. Schedule timing and TSC K/A text unchanged.</w:t>
            </w:r>
          </w:p>
        </w:tc>
        <w:tc>
          <w:tcPr>
            <w:tcW w:type="dxa" w:w="2160"/>
          </w:tcPr>
          <w:p>
            <w:r/>
            <w:r>
              <w:rPr>
                <w:sz w:val="19"/>
              </w:rPr>
              <w:t>Dr Alfred Ang</w:t>
            </w:r>
          </w:p>
        </w:tc>
      </w:tr>
      <w:tr>
        <w:tc>
          <w:tcPr>
            <w:tcW w:type="dxa" w:w="2160"/>
          </w:tcPr>
          <w:p>
            <w:r/>
            <w:r>
              <w:rPr>
                <w:sz w:val="19"/>
              </w:rPr>
              <w:t>4.8</w:t>
            </w:r>
          </w:p>
        </w:tc>
        <w:tc>
          <w:tcPr>
            <w:tcW w:type="dxa" w:w="2160"/>
          </w:tcPr>
          <w:p>
            <w:r/>
            <w:r>
              <w:rPr>
                <w:sz w:val="19"/>
              </w:rPr>
              <w:t>26 August 2026</w:t>
            </w:r>
          </w:p>
        </w:tc>
        <w:tc>
          <w:tcPr>
            <w:tcW w:type="dxa" w:w="2160"/>
          </w:tcPr>
          <w:p>
            <w:r/>
            <w:r>
              <w:rPr>
                <w:sz w:val="19"/>
              </w:rPr>
              <w:t>Added verified case study 'Case — A Malicious Skill on ClawHub' (Snyk, Feb 2026) at the end of the Topic 1 Skills and Tools section: a fake Google skill whose SKILL.md instructions tricked users into installing malware. Schedule timing and TSC K/A text unchanged.</w:t>
            </w:r>
          </w:p>
        </w:tc>
        <w:tc>
          <w:tcPr>
            <w:tcW w:type="dxa" w:w="2160"/>
          </w:tcPr>
          <w:p>
            <w:r/>
            <w:r>
              <w:rPr>
                <w:sz w:val="19"/>
              </w:rPr>
              <w:t>Dr Alfred Ang</w:t>
            </w:r>
          </w:p>
        </w:tc>
      </w:tr>
      <w:tr>
        <w:tc>
          <w:tcPr>
            <w:tcW w:type="dxa" w:w="2160"/>
          </w:tcPr>
          <w:p>
            <w:r/>
            <w:r>
              <w:rPr>
                <w:sz w:val="19"/>
              </w:rPr>
              <w:t>4.9</w:t>
            </w:r>
          </w:p>
        </w:tc>
        <w:tc>
          <w:tcPr>
            <w:tcW w:type="dxa" w:w="2160"/>
          </w:tcPr>
          <w:p>
            <w:r/>
            <w:r>
              <w:rPr>
                <w:sz w:val="19"/>
              </w:rPr>
              <w:t>26 August 2026</w:t>
            </w:r>
          </w:p>
        </w:tc>
        <w:tc>
          <w:tcPr>
            <w:tcW w:type="dxa" w:w="2160"/>
          </w:tcPr>
          <w:p>
            <w:r/>
            <w:r>
              <w:rPr>
                <w:sz w:val="19"/>
              </w:rPr>
              <w:t>Activity 3 reworked: the agent now creates a 10-slide 'AI Security for AI Agents' deck (saved to the Downloads folder), then redesigns it from an uploaded image template — replacing the Envato-template animated-deck flow. Schedule timing and TSC K/A text unchanged.</w:t>
            </w:r>
          </w:p>
        </w:tc>
        <w:tc>
          <w:tcPr>
            <w:tcW w:type="dxa" w:w="2160"/>
          </w:tcPr>
          <w:p>
            <w:r/>
            <w:r>
              <w:rPr>
                <w:sz w:val="19"/>
              </w:rPr>
              <w:t>Dr Alfred Ang</w:t>
            </w:r>
          </w:p>
        </w:tc>
      </w:tr>
      <w:tr>
        <w:tc>
          <w:tcPr>
            <w:tcW w:type="dxa" w:w="2160"/>
          </w:tcPr>
          <w:p>
            <w:r/>
            <w:r>
              <w:rPr>
                <w:sz w:val="19"/>
              </w:rPr>
              <w:t>4.10</w:t>
            </w:r>
          </w:p>
        </w:tc>
        <w:tc>
          <w:tcPr>
            <w:tcW w:type="dxa" w:w="2160"/>
          </w:tcPr>
          <w:p>
            <w:r/>
            <w:r>
              <w:rPr>
                <w:sz w:val="19"/>
              </w:rPr>
              <w:t>26 August 2026</w:t>
            </w:r>
          </w:p>
        </w:tc>
        <w:tc>
          <w:tcPr>
            <w:tcW w:type="dxa" w:w="2160"/>
          </w:tcPr>
          <w:p>
            <w:r/>
            <w:r>
              <w:rPr>
                <w:sz w:val="19"/>
              </w:rPr>
              <w:t>Activity 2 reworked: learners now upload MOCK-MARKETING-DATA.xlsx to the Hermes + MiniMax agent and prompt it to analyse the data, generate charts and produce a .docx report with insights, analysis and recommendations. Schedule timing and TSC K/A text unchanged.</w:t>
            </w:r>
          </w:p>
        </w:tc>
        <w:tc>
          <w:tcPr>
            <w:tcW w:type="dxa" w:w="2160"/>
          </w:tcPr>
          <w:p>
            <w:r/>
            <w:r>
              <w:rPr>
                <w:sz w:val="19"/>
              </w:rPr>
              <w:t>Dr Alfred Ang</w:t>
            </w:r>
          </w:p>
        </w:tc>
      </w:tr>
      <w:tr>
        <w:tc>
          <w:tcPr>
            <w:tcW w:type="dxa" w:w="2160"/>
          </w:tcPr>
          <w:p>
            <w:r/>
            <w:r>
              <w:rPr>
                <w:sz w:val="19"/>
              </w:rPr>
              <w:t>4.11</w:t>
            </w:r>
          </w:p>
        </w:tc>
        <w:tc>
          <w:tcPr>
            <w:tcW w:type="dxa" w:w="2160"/>
          </w:tcPr>
          <w:p>
            <w:r/>
            <w:r>
              <w:rPr>
                <w:sz w:val="19"/>
              </w:rPr>
              <w:t>26 August 2026</w:t>
            </w:r>
          </w:p>
        </w:tc>
        <w:tc>
          <w:tcPr>
            <w:tcW w:type="dxa" w:w="2160"/>
          </w:tcPr>
          <w:p>
            <w:r/>
            <w:r>
              <w:rPr>
                <w:sz w:val="19"/>
              </w:rPr>
              <w:t>Added four Topic 1 slides on applications of AI agents in cyber security: threat detection (real-time detection, automated vulnerability analysis, malware classification), network and social-engineering security (intrusion detection, attack classification, phishing defence, log anomaly detection), incident response (patch generation, playbooks, root-cause analysis) and Security Operations Centres (threat hunting, predictive analytics, adaptive decision-making). Learner Guide notes renumbered. TSC K/A text unchanged.</w:t>
            </w:r>
          </w:p>
        </w:tc>
        <w:tc>
          <w:tcPr>
            <w:tcW w:type="dxa" w:w="2160"/>
          </w:tcPr>
          <w:p>
            <w:r/>
            <w:r>
              <w:rPr>
                <w:sz w:val="19"/>
              </w:rPr>
              <w:t>Dr Alfred Ang</w:t>
            </w:r>
          </w:p>
        </w:tc>
      </w:tr>
      <w:tr>
        <w:tc>
          <w:tcPr>
            <w:tcW w:type="dxa" w:w="2160"/>
          </w:tcPr>
          <w:p>
            <w:r/>
            <w:r>
              <w:rPr>
                <w:sz w:val="19"/>
              </w:rPr>
              <w:t>4.12</w:t>
            </w:r>
          </w:p>
        </w:tc>
        <w:tc>
          <w:tcPr>
            <w:tcW w:type="dxa" w:w="2160"/>
          </w:tcPr>
          <w:p>
            <w:r/>
            <w:r>
              <w:rPr>
                <w:sz w:val="19"/>
              </w:rPr>
              <w:t>26 August 2026</w:t>
            </w:r>
          </w:p>
        </w:tc>
        <w:tc>
          <w:tcPr>
            <w:tcW w:type="dxa" w:w="2160"/>
          </w:tcPr>
          <w:p>
            <w:r/>
            <w:r>
              <w:rPr>
                <w:sz w:val="19"/>
              </w:rPr>
              <w:t>Added Topic 1 slide 'Agent-to-Agent Messaging - A Security Blind Spot' after the multi-agent worked example: bad or malicious output cascades agent-to-agent, and a growing topology multiplies message paths - reducing visibility and making data-flow tracing and attribution harder. Beefed up Topic 3 security content with ten slides woven into the existing sections: multi-layer bias mitigation; the four structural security gaps of agents (multi-step inputs, tool chaining, opaque execution, untrusted entities); direct vs indirect prompt injection; jailbreaking and jailbreak persistence; a new 'Advanced Threats — A Look Ahead' section (data poisoning, backdoor attacks, AI supply-chain risk, agent-to-agent attacks, misalignment / Goodhart's Law); and human-in-the-loop at machine speed. Schedule timing and TSC K/A text unchanged.</w:t>
            </w:r>
          </w:p>
        </w:tc>
        <w:tc>
          <w:tcPr>
            <w:tcW w:type="dxa" w:w="2160"/>
          </w:tcPr>
          <w:p>
            <w:r/>
            <w:r>
              <w:rPr>
                <w:sz w:val="19"/>
              </w:rPr>
              <w:t>Dr Alfred Ang</w:t>
            </w:r>
          </w:p>
        </w:tc>
      </w:tr>
      <w:tr>
        <w:tc>
          <w:tcPr>
            <w:tcW w:type="dxa" w:w="2160"/>
          </w:tcPr>
          <w:p>
            <w:r/>
            <w:r>
              <w:rPr>
                <w:sz w:val="19"/>
              </w:rPr>
              <w:t>4.13</w:t>
            </w:r>
          </w:p>
        </w:tc>
        <w:tc>
          <w:tcPr>
            <w:tcW w:type="dxa" w:w="2160"/>
          </w:tcPr>
          <w:p>
            <w:r/>
            <w:r>
              <w:rPr>
                <w:sz w:val="19"/>
              </w:rPr>
              <w:t>26 August 2026</w:t>
            </w:r>
          </w:p>
        </w:tc>
        <w:tc>
          <w:tcPr>
            <w:tcW w:type="dxa" w:w="2160"/>
          </w:tcPr>
          <w:p>
            <w:r/>
            <w:r>
              <w:rPr>
                <w:sz w:val="19"/>
              </w:rPr>
              <w:t>Practical instrument renamed from Practical Performance to Case Study across the assessment set, slides, Lesson Plan and Learner Guide. Each Case Study task trimmed to TWO questions: Task 1 keeps the generative-vs-agentic-vs-agent and useful-vs-not-trusted questions; Task 2 keeps the weak-vs-strong prompt and prompt-principles questions; Task 3 keeps the leaky-vs-guarded chatbot and accountability questions. Marks rebalanced (20/24/26, total 70). Schedule timing and TSC K/A text unchanged.</w:t>
            </w:r>
          </w:p>
        </w:tc>
        <w:tc>
          <w:tcPr>
            <w:tcW w:type="dxa" w:w="2160"/>
          </w:tcPr>
          <w:p>
            <w:r/>
            <w:r>
              <w:rPr>
                <w:sz w:val="19"/>
              </w:rPr>
              <w:t>Dr Alfred Ang</w:t>
            </w:r>
          </w:p>
        </w:tc>
      </w:tr>
      <w:tr>
        <w:tc>
          <w:tcPr>
            <w:tcW w:type="dxa" w:w="2160"/>
          </w:tcPr>
          <w:p>
            <w:r/>
            <w:r>
              <w:rPr>
                <w:sz w:val="19"/>
              </w:rPr>
              <w:t>4.14</w:t>
            </w:r>
          </w:p>
        </w:tc>
        <w:tc>
          <w:tcPr>
            <w:tcW w:type="dxa" w:w="2160"/>
          </w:tcPr>
          <w:p>
            <w:r/>
            <w:r>
              <w:rPr>
                <w:sz w:val="19"/>
              </w:rPr>
              <w:t>26 August 2026</w:t>
            </w:r>
          </w:p>
        </w:tc>
        <w:tc>
          <w:tcPr>
            <w:tcW w:type="dxa" w:w="2160"/>
          </w:tcPr>
          <w:p>
            <w:r/>
            <w:r>
              <w:rPr>
                <w:sz w:val="19"/>
              </w:rPr>
              <w:t>Learning Outcomes slide now carries the full accredited LO1-LO3 wording. Activity overview slides for Activities 1, 4, 6, 7 and 8 regenerated with activity-specific step flows and 'You'll produce' lines matching the activity packs and Learner Guide. Thank You slide layout corrected. Activity PDFs re-stamped to the current version. Schedule timing and TSC K/A text unchanged.</w:t>
            </w:r>
          </w:p>
        </w:tc>
        <w:tc>
          <w:tcPr>
            <w:tcW w:type="dxa" w:w="2160"/>
          </w:tcPr>
          <w:p>
            <w:r/>
            <w:r>
              <w:rPr>
                <w:sz w:val="19"/>
              </w:rPr>
              <w:t>Dr Alfred Ang</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1. Course Overview</w:t>
      </w:r>
    </w:p>
    <w:p>
      <w:pPr>
        <w:spacing w:after="120"/>
      </w:pPr>
      <w:r>
        <w:rPr>
          <w:rFonts w:ascii="Arial" w:hAnsi="Arial"/>
          <w:b w:val="0"/>
          <w:color w:val="111827"/>
          <w:sz w:val="22"/>
        </w:rPr>
        <w:t>AI Security for Autonomous AI Agents is a 1 Day · 8 Hours WSQ course that introduces generative AI, agentic AI and autonomous AI agents, and the security, governance and ethical risks they bring to customer-service and hospitality settings. Learners work entirely on ready-made websites, chatbots and AI agents — no coding is required. The day is organised as three topics mapped one-to-one onto the three learning outcomes.</w:t>
      </w:r>
    </w:p>
    <w:p>
      <w:pPr>
        <w:spacing w:after="120"/>
      </w:pPr>
      <w:r>
        <w:rPr>
          <w:rFonts w:ascii="Arial" w:hAnsi="Arial"/>
          <w:b w:val="0"/>
          <w:color w:val="111827"/>
          <w:sz w:val="22"/>
        </w:rPr>
        <w:t>Topic 1 (LO1) explains how generative AI works and how it becomes agentic — the agentic loop, harness engineering, AI agents such as OpenClaw and Hermes, skills, tools and multi-agent systems. Topic 2 (LO2) covers prompt engineering and post-training, using the Hermes agent on a MiniMax model to analyse data and build presentations. Topic 3 (LO3) covers AI data governance, job impact and redesign, and the cybersecurity risks of autonomous agents, including a safe roll-out framework. Real, dated examples and clearly labelled simulations are grounded in current governance references such as the IMDA Model AI Governance Framework, Singapore's PDPA and PDPC guidance, and the OWASP Top 10 for LLM and Agentic Applications.</w:t>
      </w:r>
    </w:p>
    <w:p>
      <w:pPr>
        <w:pStyle w:val="Heading2"/>
      </w:pPr>
      <w:r>
        <w:t>Skills Framework Alignment</w:t>
      </w:r>
    </w:p>
    <w:tbl>
      <w:tblPr>
        <w:tblStyle w:val="TableGrid"/>
        <w:tblW w:type="auto" w:w="0"/>
        <w:tblLook w:firstColumn="1" w:firstRow="1" w:lastColumn="0" w:lastRow="0" w:noHBand="0" w:noVBand="1" w:val="04A0"/>
      </w:tblPr>
      <w:tblGrid>
        <w:gridCol w:w="4320"/>
        <w:gridCol w:w="4320"/>
      </w:tblGrid>
      <w:tr>
        <w:trPr>
          <w:cantSplit/>
        </w:trPr>
        <w:tc>
          <w:tcPr>
            <w:tcW w:type="dxa" w:w="2736"/>
            <w:shd w:val="clear" w:color="auto" w:fill="1F6FEB"/>
          </w:tcPr>
          <w:p>
            <w:pPr>
              <w:keepNext/>
              <w:keepLines/>
            </w:pPr>
            <w:r/>
            <w:r>
              <w:rPr>
                <w:rFonts w:ascii="Arial" w:hAnsi="Arial"/>
                <w:b/>
                <w:color w:val="FFFFFF"/>
                <w:sz w:val="20"/>
              </w:rPr>
              <w:t>Element</w:t>
            </w:r>
          </w:p>
        </w:tc>
        <w:tc>
          <w:tcPr>
            <w:tcW w:type="dxa" w:w="7560"/>
            <w:shd w:val="clear" w:color="auto" w:fill="1F6FEB"/>
          </w:tcPr>
          <w:p>
            <w:pPr>
              <w:keepNext/>
              <w:keepLines/>
            </w:pPr>
            <w:r/>
            <w:r>
              <w:rPr>
                <w:rFonts w:ascii="Arial" w:hAnsi="Arial"/>
                <w:b/>
                <w:color w:val="FFFFFF"/>
                <w:sz w:val="20"/>
              </w:rPr>
              <w:t>Detail</w:t>
            </w:r>
          </w:p>
        </w:tc>
      </w:tr>
      <w:tr>
        <w:trPr>
          <w:cantSplit/>
        </w:trPr>
        <w:tc>
          <w:tcPr>
            <w:tcW w:type="dxa" w:w="2736"/>
          </w:tcPr>
          <w:p>
            <w:pPr>
              <w:keepNext/>
              <w:keepLines/>
            </w:pPr>
            <w:r/>
            <w:r>
              <w:rPr>
                <w:rFonts w:ascii="Arial" w:hAnsi="Arial"/>
                <w:b/>
                <w:sz w:val="19"/>
              </w:rPr>
              <w:t>TSC Title</w:t>
            </w:r>
          </w:p>
        </w:tc>
        <w:tc>
          <w:tcPr>
            <w:tcW w:type="dxa" w:w="7560"/>
          </w:tcPr>
          <w:p>
            <w:pPr>
              <w:keepNext/>
              <w:keepLines/>
            </w:pPr>
            <w:r/>
            <w:r>
              <w:rPr>
                <w:rFonts w:ascii="Arial" w:hAnsi="Arial"/>
                <w:b w:val="0"/>
                <w:sz w:val="19"/>
              </w:rPr>
              <w:t>Generative AI Principles and Applications</w:t>
            </w:r>
          </w:p>
        </w:tc>
      </w:tr>
      <w:tr>
        <w:trPr>
          <w:cantSplit/>
        </w:trPr>
        <w:tc>
          <w:tcPr>
            <w:tcW w:type="dxa" w:w="2736"/>
          </w:tcPr>
          <w:p>
            <w:pPr>
              <w:keepNext/>
              <w:keepLines/>
            </w:pPr>
            <w:r/>
            <w:r>
              <w:rPr>
                <w:rFonts w:ascii="Arial" w:hAnsi="Arial"/>
                <w:b/>
                <w:sz w:val="19"/>
              </w:rPr>
              <w:t>TSC Code</w:t>
            </w:r>
          </w:p>
        </w:tc>
        <w:tc>
          <w:tcPr>
            <w:tcW w:type="dxa" w:w="7560"/>
          </w:tcPr>
          <w:p>
            <w:pPr>
              <w:keepNext/>
              <w:keepLines/>
            </w:pPr>
            <w:r/>
            <w:r>
              <w:rPr>
                <w:rFonts w:ascii="Arial" w:hAnsi="Arial"/>
                <w:b w:val="0"/>
                <w:sz w:val="19"/>
              </w:rPr>
              <w:t>ICT-INT-0052-1.1</w:t>
            </w:r>
          </w:p>
        </w:tc>
      </w:tr>
      <w:tr>
        <w:trPr>
          <w:cantSplit/>
        </w:trPr>
        <w:tc>
          <w:tcPr>
            <w:tcW w:type="dxa" w:w="2736"/>
          </w:tcPr>
          <w:p>
            <w:pPr>
              <w:keepNext/>
              <w:keepLines/>
            </w:pPr>
            <w:r/>
            <w:r>
              <w:rPr>
                <w:rFonts w:ascii="Arial" w:hAnsi="Arial"/>
                <w:b/>
                <w:sz w:val="19"/>
              </w:rPr>
              <w:t>Proficiency Level</w:t>
            </w:r>
          </w:p>
        </w:tc>
        <w:tc>
          <w:tcPr>
            <w:tcW w:type="dxa" w:w="7560"/>
          </w:tcPr>
          <w:p>
            <w:pPr>
              <w:keepNext/>
              <w:keepLines/>
            </w:pPr>
            <w:r/>
            <w:r>
              <w:rPr>
                <w:rFonts w:ascii="Arial" w:hAnsi="Arial"/>
                <w:b w:val="0"/>
                <w:sz w:val="19"/>
              </w:rPr>
              <w:t>Level 1</w:t>
            </w:r>
          </w:p>
        </w:tc>
      </w:tr>
      <w:tr>
        <w:trPr>
          <w:cantSplit/>
        </w:trPr>
        <w:tc>
          <w:tcPr>
            <w:tcW w:type="dxa" w:w="2736"/>
          </w:tcPr>
          <w:p>
            <w:pPr>
              <w:keepNext/>
              <w:keepLines/>
            </w:pPr>
            <w:r/>
            <w:r>
              <w:rPr>
                <w:rFonts w:ascii="Arial" w:hAnsi="Arial"/>
                <w:b/>
                <w:sz w:val="19"/>
              </w:rPr>
              <w:t>Course Code</w:t>
            </w:r>
          </w:p>
        </w:tc>
        <w:tc>
          <w:tcPr>
            <w:tcW w:type="dxa" w:w="7560"/>
          </w:tcPr>
          <w:p>
            <w:pPr>
              <w:keepNext/>
              <w:keepLines/>
            </w:pPr>
            <w:r/>
            <w:r>
              <w:rPr>
                <w:rFonts w:ascii="Arial" w:hAnsi="Arial"/>
                <w:b w:val="0"/>
                <w:sz w:val="19"/>
              </w:rPr>
              <w:t>TGS-2025060473</w:t>
            </w:r>
          </w:p>
        </w:tc>
      </w:tr>
      <w:tr>
        <w:trPr>
          <w:cantSplit/>
        </w:trPr>
        <w:tc>
          <w:tcPr>
            <w:tcW w:type="dxa" w:w="2736"/>
          </w:tcPr>
          <w:p>
            <w:pPr>
              <w:keepNext/>
              <w:keepLines/>
            </w:pPr>
            <w:r/>
            <w:r>
              <w:rPr>
                <w:rFonts w:ascii="Arial" w:hAnsi="Arial"/>
                <w:b/>
                <w:sz w:val="19"/>
              </w:rPr>
              <w:t>Duration</w:t>
            </w:r>
          </w:p>
        </w:tc>
        <w:tc>
          <w:tcPr>
            <w:tcW w:type="dxa" w:w="7560"/>
          </w:tcPr>
          <w:p>
            <w:pPr>
              <w:keepNext/>
              <w:keepLines/>
            </w:pPr>
            <w:r/>
            <w:r>
              <w:rPr>
                <w:rFonts w:ascii="Arial" w:hAnsi="Arial"/>
                <w:b w:val="0"/>
                <w:sz w:val="19"/>
              </w:rPr>
              <w:t>1 Day · 8 Hours</w:t>
            </w:r>
          </w:p>
        </w:tc>
      </w:tr>
      <w:tr>
        <w:trPr>
          <w:cantSplit/>
        </w:trPr>
        <w:tc>
          <w:tcPr>
            <w:tcW w:type="dxa" w:w="2736"/>
          </w:tcPr>
          <w:p>
            <w:pPr>
              <w:keepNext w:val="0"/>
              <w:keepLines/>
            </w:pPr>
            <w:r/>
            <w:r>
              <w:rPr>
                <w:rFonts w:ascii="Arial" w:hAnsi="Arial"/>
                <w:b/>
                <w:sz w:val="19"/>
              </w:rPr>
              <w:t>Delivery</w:t>
            </w:r>
          </w:p>
        </w:tc>
        <w:tc>
          <w:tcPr>
            <w:tcW w:type="dxa" w:w="7560"/>
          </w:tcPr>
          <w:p>
            <w:pPr>
              <w:keepNext w:val="0"/>
              <w:keepLines/>
            </w:pPr>
            <w:r/>
            <w:r>
              <w:rPr>
                <w:rFonts w:ascii="Arial" w:hAnsi="Arial"/>
                <w:b w:val="0"/>
                <w:sz w:val="19"/>
              </w:rPr>
              <w:t>Instructor-led classroom with facilitated case-study activities</w:t>
            </w:r>
          </w:p>
        </w:tc>
      </w:tr>
    </w:tbl>
    <w:p>
      <w:pPr>
        <w:spacing w:after="120"/>
      </w:pPr>
      <w:r>
        <w:rPr>
          <w:rFonts w:ascii="Arial" w:hAnsi="Arial"/>
          <w:b w:val="0"/>
          <w:color w:val="111827"/>
          <w:sz w:val="22"/>
        </w:rPr>
      </w:r>
    </w:p>
    <w:p>
      <w:pPr>
        <w:spacing w:after="120"/>
      </w:pPr>
      <w:r>
        <w:rPr>
          <w:rFonts w:ascii="Arial" w:hAnsi="Arial"/>
          <w:b w:val="0"/>
          <w:color w:val="555B66"/>
          <w:sz w:val="19"/>
        </w:rPr>
        <w:t>Note: the accredited knowledge and ability statements below are reproduced verbatim. They are taught and assessed as accredited; AI security is the delivery context through which each statement is evidenced.</w:t>
      </w:r>
    </w:p>
    <w:p>
      <w:pPr>
        <w:pStyle w:val="Heading2"/>
      </w:pPr>
      <w:r>
        <w:t>Learning Outcomes</w:t>
      </w:r>
    </w:p>
    <w:tbl>
      <w:tblPr>
        <w:tblStyle w:val="TableGrid"/>
        <w:tblW w:type="auto" w:w="0"/>
        <w:tblLook w:firstColumn="1" w:firstRow="1" w:lastColumn="0" w:lastRow="0" w:noHBand="0" w:noVBand="1" w:val="04A0"/>
      </w:tblPr>
      <w:tblGrid>
        <w:gridCol w:w="4320"/>
        <w:gridCol w:w="4320"/>
      </w:tblGrid>
      <w:tr>
        <w:trPr>
          <w:cantSplit/>
        </w:trPr>
        <w:tc>
          <w:tcPr>
            <w:tcW w:type="dxa" w:w="1008"/>
            <w:shd w:val="clear" w:color="auto" w:fill="1F6FEB"/>
          </w:tcPr>
          <w:p>
            <w:pPr>
              <w:keepNext/>
              <w:keepLines/>
            </w:pPr>
            <w:r/>
            <w:r>
              <w:rPr>
                <w:rFonts w:ascii="Arial" w:hAnsi="Arial"/>
                <w:b/>
                <w:color w:val="FFFFFF"/>
                <w:sz w:val="20"/>
              </w:rPr>
              <w:t>LO</w:t>
            </w:r>
          </w:p>
        </w:tc>
        <w:tc>
          <w:tcPr>
            <w:tcW w:type="dxa" w:w="9288"/>
            <w:shd w:val="clear" w:color="auto" w:fill="1F6FEB"/>
          </w:tcPr>
          <w:p>
            <w:pPr>
              <w:keepNext/>
              <w:keepLines/>
            </w:pPr>
            <w:r/>
            <w:r>
              <w:rPr>
                <w:rFonts w:ascii="Arial" w:hAnsi="Arial"/>
                <w:b/>
                <w:color w:val="FFFFFF"/>
                <w:sz w:val="20"/>
              </w:rPr>
              <w:t>Learning Outcome</w:t>
            </w:r>
          </w:p>
        </w:tc>
      </w:tr>
      <w:tr>
        <w:trPr>
          <w:cantSplit/>
        </w:trPr>
        <w:tc>
          <w:tcPr>
            <w:tcW w:type="dxa" w:w="1008"/>
          </w:tcPr>
          <w:p>
            <w:pPr>
              <w:keepNext/>
              <w:keepLines/>
            </w:pPr>
            <w:r/>
            <w:r>
              <w:rPr>
                <w:rFonts w:ascii="Arial" w:hAnsi="Arial"/>
                <w:b/>
                <w:sz w:val="19"/>
              </w:rPr>
              <w:t>LO1</w:t>
            </w:r>
          </w:p>
        </w:tc>
        <w:tc>
          <w:tcPr>
            <w:tcW w:type="dxa" w:w="9288"/>
          </w:tcPr>
          <w:p>
            <w:pPr>
              <w:keepNext/>
              <w:keepLines/>
            </w:pPr>
            <w:r/>
            <w:r>
              <w:rPr>
                <w:rFonts w:ascii="Arial" w:hAnsi="Arial"/>
                <w:b w:val="0"/>
                <w:sz w:val="19"/>
              </w:rPr>
              <w:t>Demonstrate generative AI concepts and applications relevant to customer service and hospitality management.</w:t>
            </w:r>
          </w:p>
        </w:tc>
      </w:tr>
      <w:tr>
        <w:trPr>
          <w:cantSplit/>
        </w:trPr>
        <w:tc>
          <w:tcPr>
            <w:tcW w:type="dxa" w:w="1008"/>
          </w:tcPr>
          <w:p>
            <w:pPr>
              <w:keepNext/>
              <w:keepLines/>
            </w:pPr>
            <w:r/>
            <w:r>
              <w:rPr>
                <w:rFonts w:ascii="Arial" w:hAnsi="Arial"/>
                <w:b/>
                <w:sz w:val="19"/>
              </w:rPr>
              <w:t>LO2</w:t>
            </w:r>
          </w:p>
        </w:tc>
        <w:tc>
          <w:tcPr>
            <w:tcW w:type="dxa" w:w="9288"/>
          </w:tcPr>
          <w:p>
            <w:pPr>
              <w:keepNext/>
              <w:keepLines/>
            </w:pPr>
            <w:r/>
            <w:r>
              <w:rPr>
                <w:rFonts w:ascii="Arial" w:hAnsi="Arial"/>
                <w:b w:val="0"/>
                <w:sz w:val="19"/>
              </w:rPr>
              <w:t>Apply prompt engineering techniques and analyse output variations to improve generative AI performance in service settings.</w:t>
            </w:r>
          </w:p>
        </w:tc>
      </w:tr>
      <w:tr>
        <w:trPr>
          <w:cantSplit/>
        </w:trPr>
        <w:tc>
          <w:tcPr>
            <w:tcW w:type="dxa" w:w="1008"/>
          </w:tcPr>
          <w:p>
            <w:pPr>
              <w:keepNext w:val="0"/>
              <w:keepLines/>
            </w:pPr>
            <w:r/>
            <w:r>
              <w:rPr>
                <w:rFonts w:ascii="Arial" w:hAnsi="Arial"/>
                <w:b/>
                <w:sz w:val="19"/>
              </w:rPr>
              <w:t>LO3</w:t>
            </w:r>
          </w:p>
        </w:tc>
        <w:tc>
          <w:tcPr>
            <w:tcW w:type="dxa" w:w="9288"/>
          </w:tcPr>
          <w:p>
            <w:pPr>
              <w:keepNext w:val="0"/>
              <w:keepLines/>
            </w:pPr>
            <w:r/>
            <w:r>
              <w:rPr>
                <w:rFonts w:ascii="Arial" w:hAnsi="Arial"/>
                <w:b w:val="0"/>
                <w:sz w:val="19"/>
              </w:rPr>
              <w:t>Identify ethical risks and analyse bias in AI-generated content used in customer engagement.</w:t>
            </w:r>
          </w:p>
        </w:tc>
      </w:tr>
    </w:tbl>
    <w:p>
      <w:pPr>
        <w:pStyle w:val="Heading2"/>
      </w:pPr>
      <w:r>
        <w:t>Knowledge Statements (assessed by the Written Assessment)</w:t>
      </w:r>
    </w:p>
    <w:tbl>
      <w:tblPr>
        <w:tblStyle w:val="TableGrid"/>
        <w:tblW w:type="auto" w:w="0"/>
        <w:tblLook w:firstColumn="1" w:firstRow="1" w:lastColumn="0" w:lastRow="0" w:noHBand="0" w:noVBand="1" w:val="04A0"/>
      </w:tblPr>
      <w:tblGrid>
        <w:gridCol w:w="4320"/>
        <w:gridCol w:w="4320"/>
      </w:tblGrid>
      <w:tr>
        <w:trPr>
          <w:cantSplit/>
        </w:trPr>
        <w:tc>
          <w:tcPr>
            <w:tcW w:type="dxa" w:w="1008"/>
            <w:shd w:val="clear" w:color="auto" w:fill="1F6FEB"/>
          </w:tcPr>
          <w:p>
            <w:pPr>
              <w:keepNext/>
              <w:keepLines/>
            </w:pPr>
            <w:r/>
            <w:r>
              <w:rPr>
                <w:rFonts w:ascii="Arial" w:hAnsi="Arial"/>
                <w:b/>
                <w:color w:val="FFFFFF"/>
                <w:sz w:val="20"/>
              </w:rPr>
              <w:t>Code</w:t>
            </w:r>
          </w:p>
        </w:tc>
        <w:tc>
          <w:tcPr>
            <w:tcW w:type="dxa" w:w="9288"/>
            <w:shd w:val="clear" w:color="auto" w:fill="1F6FEB"/>
          </w:tcPr>
          <w:p>
            <w:pPr>
              <w:keepNext/>
              <w:keepLines/>
            </w:pPr>
            <w:r/>
            <w:r>
              <w:rPr>
                <w:rFonts w:ascii="Arial" w:hAnsi="Arial"/>
                <w:b/>
                <w:color w:val="FFFFFF"/>
                <w:sz w:val="20"/>
              </w:rPr>
              <w:t>Knowledge statement</w:t>
            </w:r>
          </w:p>
        </w:tc>
      </w:tr>
      <w:tr>
        <w:trPr>
          <w:cantSplit/>
        </w:trPr>
        <w:tc>
          <w:tcPr>
            <w:tcW w:type="dxa" w:w="1008"/>
          </w:tcPr>
          <w:p>
            <w:pPr>
              <w:keepNext/>
              <w:keepLines/>
            </w:pPr>
            <w:r/>
            <w:r>
              <w:rPr>
                <w:rFonts w:ascii="Arial" w:hAnsi="Arial"/>
                <w:b/>
                <w:sz w:val="19"/>
              </w:rPr>
              <w:t>K1</w:t>
            </w:r>
          </w:p>
        </w:tc>
        <w:tc>
          <w:tcPr>
            <w:tcW w:type="dxa" w:w="9288"/>
          </w:tcPr>
          <w:p>
            <w:pPr>
              <w:keepNext/>
              <w:keepLines/>
            </w:pPr>
            <w:r/>
            <w:r>
              <w:rPr>
                <w:rFonts w:ascii="Arial" w:hAnsi="Arial"/>
                <w:b w:val="0"/>
                <w:sz w:val="19"/>
              </w:rPr>
              <w:t>Importance of data quality, preprocessing, model pipeline and model training (e.g., impact of data bias from training data)</w:t>
            </w:r>
          </w:p>
        </w:tc>
      </w:tr>
      <w:tr>
        <w:trPr>
          <w:cantSplit/>
        </w:trPr>
        <w:tc>
          <w:tcPr>
            <w:tcW w:type="dxa" w:w="1008"/>
          </w:tcPr>
          <w:p>
            <w:pPr>
              <w:keepNext/>
              <w:keepLines/>
            </w:pPr>
            <w:r/>
            <w:r>
              <w:rPr>
                <w:rFonts w:ascii="Arial" w:hAnsi="Arial"/>
                <w:b/>
                <w:sz w:val="19"/>
              </w:rPr>
              <w:t>K2</w:t>
            </w:r>
          </w:p>
        </w:tc>
        <w:tc>
          <w:tcPr>
            <w:tcW w:type="dxa" w:w="9288"/>
          </w:tcPr>
          <w:p>
            <w:pPr>
              <w:keepNext/>
              <w:keepLines/>
            </w:pPr>
            <w:r/>
            <w:r>
              <w:rPr>
                <w:rFonts w:ascii="Arial" w:hAnsi="Arial"/>
                <w:b w:val="0"/>
                <w:sz w:val="19"/>
              </w:rPr>
              <w:t>Underlying principles, core concepts and theories governing generative AI</w:t>
            </w:r>
          </w:p>
        </w:tc>
      </w:tr>
      <w:tr>
        <w:trPr>
          <w:cantSplit/>
        </w:trPr>
        <w:tc>
          <w:tcPr>
            <w:tcW w:type="dxa" w:w="1008"/>
          </w:tcPr>
          <w:p>
            <w:pPr>
              <w:keepNext/>
              <w:keepLines/>
            </w:pPr>
            <w:r/>
            <w:r>
              <w:rPr>
                <w:rFonts w:ascii="Arial" w:hAnsi="Arial"/>
                <w:b/>
                <w:sz w:val="19"/>
              </w:rPr>
              <w:t>K3</w:t>
            </w:r>
          </w:p>
        </w:tc>
        <w:tc>
          <w:tcPr>
            <w:tcW w:type="dxa" w:w="9288"/>
          </w:tcPr>
          <w:p>
            <w:pPr>
              <w:keepNext/>
              <w:keepLines/>
            </w:pPr>
            <w:r/>
            <w:r>
              <w:rPr>
                <w:rFonts w:ascii="Arial" w:hAnsi="Arial"/>
                <w:b w:val="0"/>
                <w:sz w:val="19"/>
              </w:rPr>
              <w:t>Difference between generative and discriminative models</w:t>
            </w:r>
          </w:p>
        </w:tc>
      </w:tr>
      <w:tr>
        <w:trPr>
          <w:cantSplit/>
        </w:trPr>
        <w:tc>
          <w:tcPr>
            <w:tcW w:type="dxa" w:w="1008"/>
          </w:tcPr>
          <w:p>
            <w:pPr>
              <w:keepNext/>
              <w:keepLines/>
            </w:pPr>
            <w:r/>
            <w:r>
              <w:rPr>
                <w:rFonts w:ascii="Arial" w:hAnsi="Arial"/>
                <w:b/>
                <w:sz w:val="19"/>
              </w:rPr>
              <w:t>K4</w:t>
            </w:r>
          </w:p>
        </w:tc>
        <w:tc>
          <w:tcPr>
            <w:tcW w:type="dxa" w:w="9288"/>
          </w:tcPr>
          <w:p>
            <w:pPr>
              <w:keepNext/>
              <w:keepLines/>
            </w:pPr>
            <w:r/>
            <w:r>
              <w:rPr>
                <w:rFonts w:ascii="Arial" w:hAnsi="Arial"/>
                <w:b w:val="0"/>
                <w:sz w:val="19"/>
              </w:rPr>
              <w:t>Impact of prompt engineering on the model outputs of generative AI</w:t>
            </w:r>
          </w:p>
        </w:tc>
      </w:tr>
      <w:tr>
        <w:trPr>
          <w:cantSplit/>
        </w:trPr>
        <w:tc>
          <w:tcPr>
            <w:tcW w:type="dxa" w:w="1008"/>
          </w:tcPr>
          <w:p>
            <w:pPr>
              <w:keepNext w:val="0"/>
              <w:keepLines/>
            </w:pPr>
            <w:r/>
            <w:r>
              <w:rPr>
                <w:rFonts w:ascii="Arial" w:hAnsi="Arial"/>
                <w:b/>
                <w:sz w:val="19"/>
              </w:rPr>
              <w:t>K5</w:t>
            </w:r>
          </w:p>
        </w:tc>
        <w:tc>
          <w:tcPr>
            <w:tcW w:type="dxa" w:w="9288"/>
          </w:tcPr>
          <w:p>
            <w:pPr>
              <w:keepNext w:val="0"/>
              <w:keepLines/>
            </w:pPr>
            <w:r/>
            <w:r>
              <w:rPr>
                <w:rFonts w:ascii="Arial" w:hAnsi="Arial"/>
                <w:b w:val="0"/>
                <w:sz w:val="19"/>
              </w:rPr>
              <w:t>Generative AI model workings, including training data, algorithms, and outputs</w:t>
            </w:r>
          </w:p>
        </w:tc>
      </w:tr>
    </w:tbl>
    <w:p>
      <w:pPr>
        <w:pStyle w:val="Heading2"/>
      </w:pPr>
      <w:r>
        <w:t>Ability Statements (assessed by the Case Study)</w:t>
      </w:r>
    </w:p>
    <w:tbl>
      <w:tblPr>
        <w:tblStyle w:val="TableGrid"/>
        <w:tblW w:type="auto" w:w="0"/>
        <w:tblLook w:firstColumn="1" w:firstRow="1" w:lastColumn="0" w:lastRow="0" w:noHBand="0" w:noVBand="1" w:val="04A0"/>
      </w:tblPr>
      <w:tblGrid>
        <w:gridCol w:w="4320"/>
        <w:gridCol w:w="4320"/>
      </w:tblGrid>
      <w:tr>
        <w:trPr>
          <w:cantSplit/>
        </w:trPr>
        <w:tc>
          <w:tcPr>
            <w:tcW w:type="dxa" w:w="1008"/>
            <w:shd w:val="clear" w:color="auto" w:fill="1F6FEB"/>
          </w:tcPr>
          <w:p>
            <w:pPr>
              <w:keepNext/>
              <w:keepLines/>
            </w:pPr>
            <w:r/>
            <w:r>
              <w:rPr>
                <w:rFonts w:ascii="Arial" w:hAnsi="Arial"/>
                <w:b/>
                <w:color w:val="FFFFFF"/>
                <w:sz w:val="20"/>
              </w:rPr>
              <w:t>Code</w:t>
            </w:r>
          </w:p>
        </w:tc>
        <w:tc>
          <w:tcPr>
            <w:tcW w:type="dxa" w:w="9288"/>
            <w:shd w:val="clear" w:color="auto" w:fill="1F6FEB"/>
          </w:tcPr>
          <w:p>
            <w:pPr>
              <w:keepNext/>
              <w:keepLines/>
            </w:pPr>
            <w:r/>
            <w:r>
              <w:rPr>
                <w:rFonts w:ascii="Arial" w:hAnsi="Arial"/>
                <w:b/>
                <w:color w:val="FFFFFF"/>
                <w:sz w:val="20"/>
              </w:rPr>
              <w:t>Ability statement</w:t>
            </w:r>
          </w:p>
        </w:tc>
      </w:tr>
      <w:tr>
        <w:trPr>
          <w:cantSplit/>
        </w:trPr>
        <w:tc>
          <w:tcPr>
            <w:tcW w:type="dxa" w:w="1008"/>
          </w:tcPr>
          <w:p>
            <w:pPr>
              <w:keepNext/>
              <w:keepLines/>
            </w:pPr>
            <w:r/>
            <w:r>
              <w:rPr>
                <w:rFonts w:ascii="Arial" w:hAnsi="Arial"/>
                <w:b/>
                <w:sz w:val="19"/>
              </w:rPr>
              <w:t>A1</w:t>
            </w:r>
          </w:p>
        </w:tc>
        <w:tc>
          <w:tcPr>
            <w:tcW w:type="dxa" w:w="9288"/>
          </w:tcPr>
          <w:p>
            <w:pPr>
              <w:keepNext/>
              <w:keepLines/>
            </w:pPr>
            <w:r/>
            <w:r>
              <w:rPr>
                <w:rFonts w:ascii="Arial" w:hAnsi="Arial"/>
                <w:b w:val="0"/>
                <w:sz w:val="19"/>
              </w:rPr>
              <w:t>Analyse limitations and potential biases in AI-generated content</w:t>
            </w:r>
          </w:p>
        </w:tc>
      </w:tr>
      <w:tr>
        <w:trPr>
          <w:cantSplit/>
        </w:trPr>
        <w:tc>
          <w:tcPr>
            <w:tcW w:type="dxa" w:w="1008"/>
          </w:tcPr>
          <w:p>
            <w:pPr>
              <w:keepNext/>
              <w:keepLines/>
            </w:pPr>
            <w:r/>
            <w:r>
              <w:rPr>
                <w:rFonts w:ascii="Arial" w:hAnsi="Arial"/>
                <w:b/>
                <w:sz w:val="19"/>
              </w:rPr>
              <w:t>A2</w:t>
            </w:r>
          </w:p>
        </w:tc>
        <w:tc>
          <w:tcPr>
            <w:tcW w:type="dxa" w:w="9288"/>
          </w:tcPr>
          <w:p>
            <w:pPr>
              <w:keepNext/>
              <w:keepLines/>
            </w:pPr>
            <w:r/>
            <w:r>
              <w:rPr>
                <w:rFonts w:ascii="Arial" w:hAnsi="Arial"/>
                <w:b w:val="0"/>
                <w:sz w:val="19"/>
              </w:rPr>
              <w:t>Identify the ethical implications and societal impact of AI-generated content</w:t>
            </w:r>
          </w:p>
        </w:tc>
      </w:tr>
      <w:tr>
        <w:trPr>
          <w:cantSplit/>
        </w:trPr>
        <w:tc>
          <w:tcPr>
            <w:tcW w:type="dxa" w:w="1008"/>
          </w:tcPr>
          <w:p>
            <w:pPr>
              <w:keepNext/>
              <w:keepLines/>
            </w:pPr>
            <w:r/>
            <w:r>
              <w:rPr>
                <w:rFonts w:ascii="Arial" w:hAnsi="Arial"/>
                <w:b/>
                <w:sz w:val="19"/>
              </w:rPr>
              <w:t>A3</w:t>
            </w:r>
          </w:p>
        </w:tc>
        <w:tc>
          <w:tcPr>
            <w:tcW w:type="dxa" w:w="9288"/>
          </w:tcPr>
          <w:p>
            <w:pPr>
              <w:keepNext/>
              <w:keepLines/>
            </w:pPr>
            <w:r/>
            <w:r>
              <w:rPr>
                <w:rFonts w:ascii="Arial" w:hAnsi="Arial"/>
                <w:b w:val="0"/>
                <w:sz w:val="19"/>
              </w:rPr>
              <w:t>Apply understanding of generative AI principles to use cases</w:t>
            </w:r>
          </w:p>
        </w:tc>
      </w:tr>
      <w:tr>
        <w:trPr>
          <w:cantSplit/>
        </w:trPr>
        <w:tc>
          <w:tcPr>
            <w:tcW w:type="dxa" w:w="1008"/>
          </w:tcPr>
          <w:p>
            <w:pPr>
              <w:keepNext/>
              <w:keepLines/>
            </w:pPr>
            <w:r/>
            <w:r>
              <w:rPr>
                <w:rFonts w:ascii="Arial" w:hAnsi="Arial"/>
                <w:b/>
                <w:sz w:val="19"/>
              </w:rPr>
              <w:t>A4</w:t>
            </w:r>
          </w:p>
        </w:tc>
        <w:tc>
          <w:tcPr>
            <w:tcW w:type="dxa" w:w="9288"/>
          </w:tcPr>
          <w:p>
            <w:pPr>
              <w:keepNext/>
              <w:keepLines/>
            </w:pPr>
            <w:r/>
            <w:r>
              <w:rPr>
                <w:rFonts w:ascii="Arial" w:hAnsi="Arial"/>
                <w:b w:val="0"/>
                <w:sz w:val="19"/>
              </w:rPr>
              <w:t>Demonstrate the use of generation AI in diverse applications (e.g., summarisation, inference, reasoning, transformation of content, augmentation of content)</w:t>
            </w:r>
          </w:p>
        </w:tc>
      </w:tr>
      <w:tr>
        <w:trPr>
          <w:cantSplit/>
        </w:trPr>
        <w:tc>
          <w:tcPr>
            <w:tcW w:type="dxa" w:w="1008"/>
          </w:tcPr>
          <w:p>
            <w:pPr>
              <w:keepNext w:val="0"/>
              <w:keepLines/>
            </w:pPr>
            <w:r/>
            <w:r>
              <w:rPr>
                <w:rFonts w:ascii="Arial" w:hAnsi="Arial"/>
                <w:b/>
                <w:sz w:val="19"/>
              </w:rPr>
              <w:t>A5</w:t>
            </w:r>
          </w:p>
        </w:tc>
        <w:tc>
          <w:tcPr>
            <w:tcW w:type="dxa" w:w="9288"/>
          </w:tcPr>
          <w:p>
            <w:pPr>
              <w:keepNext w:val="0"/>
              <w:keepLines/>
            </w:pPr>
            <w:r/>
            <w:r>
              <w:rPr>
                <w:rFonts w:ascii="Arial" w:hAnsi="Arial"/>
                <w:b w:val="0"/>
                <w:sz w:val="19"/>
              </w:rPr>
              <w:t>Analyse generative AI models' performance metrics and evaluate the influence of prompt variations</w:t>
            </w:r>
          </w:p>
        </w:tc>
      </w:tr>
    </w:tbl>
    <w:p>
      <w:r>
        <w:br w:type="page"/>
      </w:r>
    </w:p>
    <w:p>
      <w:pPr>
        <w:pStyle w:val="Heading1"/>
      </w:pPr>
      <w:r>
        <w:t>2. Course Schedule</w:t>
      </w:r>
    </w:p>
    <w:p>
      <w:pPr>
        <w:spacing w:after="120"/>
      </w:pPr>
      <w:r>
        <w:rPr>
          <w:rFonts w:ascii="Arial" w:hAnsi="Arial"/>
          <w:b w:val="0"/>
          <w:color w:val="555B66"/>
          <w:sz w:val="20"/>
        </w:rPr>
        <w:t>The training day runs 9:00am – 6:00pm and delivers 8 instructional hours. A 1-hour lunch break is excluded from instructional time; short tea breaks are counted within the day. The 1-hour assessment runs 6:00pm – 7:00pm.</w:t>
      </w:r>
    </w:p>
    <w:p>
      <w:pPr>
        <w:pStyle w:val="Heading2"/>
      </w:pPr>
      <w:r>
        <w:t>One-Day Schedule (Topics 1–3)</w:t>
      </w:r>
    </w:p>
    <w:p>
      <w:pPr>
        <w:spacing w:after="120"/>
      </w:pPr>
      <w:r>
        <w:rPr>
          <w:rFonts w:ascii="Arial" w:hAnsi="Arial"/>
          <w:b w:val="0"/>
          <w:color w:val="555B66"/>
          <w:sz w:val="19"/>
        </w:rPr>
        <w:t>Slides 1–165 of the trainer deck.</w:t>
      </w:r>
    </w:p>
    <w:tbl>
      <w:tblPr>
        <w:tblStyle w:val="TableGrid"/>
        <w:tblW w:type="auto" w:w="0"/>
        <w:tblLook w:firstColumn="1" w:firstRow="1" w:lastColumn="0" w:lastRow="0" w:noHBand="0" w:noVBand="1" w:val="04A0"/>
      </w:tblPr>
      <w:tblGrid>
        <w:gridCol w:w="2880"/>
        <w:gridCol w:w="2880"/>
        <w:gridCol w:w="2880"/>
      </w:tblGrid>
      <w:tr>
        <w:trPr>
          <w:cantSplit/>
        </w:trPr>
        <w:tc>
          <w:tcPr>
            <w:tcW w:type="dxa" w:w="1656"/>
            <w:shd w:val="clear" w:color="auto" w:fill="1F6FEB"/>
          </w:tcPr>
          <w:p>
            <w:pPr>
              <w:keepLines/>
            </w:pPr>
            <w:r/>
            <w:r>
              <w:rPr>
                <w:rFonts w:ascii="Arial" w:hAnsi="Arial"/>
                <w:b/>
                <w:color w:val="FFFFFF"/>
                <w:sz w:val="20"/>
              </w:rPr>
              <w:t>Time</w:t>
            </w:r>
          </w:p>
        </w:tc>
        <w:tc>
          <w:tcPr>
            <w:tcW w:type="dxa" w:w="7416"/>
            <w:shd w:val="clear" w:color="auto" w:fill="1F6FEB"/>
          </w:tcPr>
          <w:p>
            <w:pPr>
              <w:keepLines/>
            </w:pPr>
            <w:r/>
            <w:r>
              <w:rPr>
                <w:rFonts w:ascii="Arial" w:hAnsi="Arial"/>
                <w:b/>
                <w:color w:val="FFFFFF"/>
                <w:sz w:val="20"/>
              </w:rPr>
              <w:t>Topic / Activity</w:t>
            </w:r>
          </w:p>
        </w:tc>
        <w:tc>
          <w:tcPr>
            <w:tcW w:type="dxa" w:w="1224"/>
            <w:shd w:val="clear" w:color="auto" w:fill="1F6FEB"/>
          </w:tcPr>
          <w:p>
            <w:pPr>
              <w:keepLines/>
            </w:pPr>
            <w:r/>
            <w:r>
              <w:rPr>
                <w:rFonts w:ascii="Arial" w:hAnsi="Arial"/>
                <w:b/>
                <w:color w:val="FFFFFF"/>
                <w:sz w:val="20"/>
              </w:rPr>
              <w:t>Duration</w:t>
            </w:r>
          </w:p>
        </w:tc>
      </w:tr>
      <w:tr>
        <w:trPr>
          <w:cantSplit/>
        </w:trPr>
        <w:tc>
          <w:tcPr>
            <w:tcW w:type="dxa" w:w="1656"/>
            <w:shd w:val="clear" w:color="auto" w:fill="F2F4F7"/>
          </w:tcPr>
          <w:p>
            <w:pPr>
              <w:keepLines/>
            </w:pPr>
            <w:r/>
            <w:r>
              <w:rPr>
                <w:rFonts w:ascii="Arial" w:hAnsi="Arial"/>
                <w:b w:val="0"/>
                <w:sz w:val="19"/>
              </w:rPr>
              <w:t>9:00 – 9:20</w:t>
            </w:r>
          </w:p>
        </w:tc>
        <w:tc>
          <w:tcPr>
            <w:tcW w:type="dxa" w:w="7416"/>
            <w:shd w:val="clear" w:color="auto" w:fill="F2F4F7"/>
          </w:tcPr>
          <w:p>
            <w:pPr>
              <w:keepLines/>
            </w:pPr>
            <w:r/>
            <w:r>
              <w:rPr>
                <w:rFonts w:ascii="Arial" w:hAnsi="Arial"/>
                <w:b w:val="0"/>
                <w:sz w:val="19"/>
              </w:rPr>
              <w:t>Welcome, digital attendance, introductions, learning outcomes and ground rules</w:t>
            </w:r>
          </w:p>
        </w:tc>
        <w:tc>
          <w:tcPr>
            <w:tcW w:type="dxa" w:w="1224"/>
            <w:shd w:val="clear" w:color="auto" w:fill="F2F4F7"/>
          </w:tcPr>
          <w:p>
            <w:pPr>
              <w:keepLines/>
            </w:pPr>
            <w:r/>
            <w:r>
              <w:rPr>
                <w:rFonts w:ascii="Arial" w:hAnsi="Arial"/>
                <w:b w:val="0"/>
                <w:sz w:val="19"/>
              </w:rPr>
              <w:t>20 min</w:t>
            </w:r>
          </w:p>
        </w:tc>
      </w:tr>
      <w:tr>
        <w:trPr>
          <w:cantSplit/>
        </w:trPr>
        <w:tc>
          <w:tcPr>
            <w:tcW w:type="dxa" w:w="1656"/>
            <w:shd w:val="clear" w:color="auto" w:fill="E8F0FE"/>
          </w:tcPr>
          <w:p>
            <w:pPr>
              <w:keepLines/>
            </w:pPr>
            <w:r/>
            <w:r>
              <w:rPr>
                <w:rFonts w:ascii="Arial" w:hAnsi="Arial"/>
                <w:b w:val="0"/>
                <w:sz w:val="19"/>
              </w:rPr>
              <w:t>9:20 – 10:05</w:t>
            </w:r>
          </w:p>
        </w:tc>
        <w:tc>
          <w:tcPr>
            <w:tcW w:type="dxa" w:w="7416"/>
            <w:shd w:val="clear" w:color="auto" w:fill="E8F0FE"/>
          </w:tcPr>
          <w:p>
            <w:pPr>
              <w:keepLines/>
            </w:pPr>
            <w:r/>
            <w:r>
              <w:rPr>
                <w:rFonts w:ascii="Arial" w:hAnsi="Arial"/>
                <w:b w:val="0"/>
                <w:sz w:val="19"/>
              </w:rPr>
              <w:t>Topic 1: Brief history of AI 2023-2026; how generative AI works — autoregressive LLM, training and inference (K2, K5)</w:t>
            </w:r>
          </w:p>
        </w:tc>
        <w:tc>
          <w:tcPr>
            <w:tcW w:type="dxa" w:w="1224"/>
            <w:shd w:val="clear" w:color="auto" w:fill="E8F0FE"/>
          </w:tcPr>
          <w:p>
            <w:pPr>
              <w:keepLines/>
            </w:pPr>
            <w:r/>
            <w:r>
              <w:rPr>
                <w:rFonts w:ascii="Arial" w:hAnsi="Arial"/>
                <w:b w:val="0"/>
                <w:sz w:val="19"/>
              </w:rPr>
              <w:t>45 min</w:t>
            </w:r>
          </w:p>
        </w:tc>
      </w:tr>
      <w:tr>
        <w:trPr>
          <w:cantSplit/>
        </w:trPr>
        <w:tc>
          <w:tcPr>
            <w:tcW w:type="dxa" w:w="1656"/>
            <w:shd w:val="clear" w:color="auto" w:fill="E8F0FE"/>
          </w:tcPr>
          <w:p>
            <w:pPr>
              <w:keepLines/>
            </w:pPr>
            <w:r/>
            <w:r>
              <w:rPr>
                <w:rFonts w:ascii="Arial" w:hAnsi="Arial"/>
                <w:b w:val="0"/>
                <w:sz w:val="19"/>
              </w:rPr>
              <w:t>10:05 – 10:45</w:t>
            </w:r>
          </w:p>
        </w:tc>
        <w:tc>
          <w:tcPr>
            <w:tcW w:type="dxa" w:w="7416"/>
            <w:shd w:val="clear" w:color="auto" w:fill="E8F0FE"/>
          </w:tcPr>
          <w:p>
            <w:pPr>
              <w:keepLines/>
            </w:pPr>
            <w:r/>
            <w:r>
              <w:rPr>
                <w:rFonts w:ascii="Arial" w:hAnsi="Arial"/>
                <w:b w:val="0"/>
                <w:sz w:val="19"/>
              </w:rPr>
              <w:t>Topic 1: Real generative-AI use cases (AI fashion models, AI video, Klarna); context engineering (K3, A3, A4)</w:t>
            </w:r>
          </w:p>
        </w:tc>
        <w:tc>
          <w:tcPr>
            <w:tcW w:type="dxa" w:w="1224"/>
            <w:shd w:val="clear" w:color="auto" w:fill="E8F0FE"/>
          </w:tcPr>
          <w:p>
            <w:pPr>
              <w:keepLines/>
            </w:pPr>
            <w:r/>
            <w:r>
              <w:rPr>
                <w:rFonts w:ascii="Arial" w:hAnsi="Arial"/>
                <w:b w:val="0"/>
                <w:sz w:val="19"/>
              </w:rPr>
              <w:t>40 min</w:t>
            </w:r>
          </w:p>
        </w:tc>
      </w:tr>
      <w:tr>
        <w:trPr>
          <w:cantSplit/>
        </w:trPr>
        <w:tc>
          <w:tcPr>
            <w:tcW w:type="dxa" w:w="1656"/>
            <w:shd w:val="clear" w:color="auto" w:fill="FDF3E3"/>
          </w:tcPr>
          <w:p>
            <w:pPr>
              <w:keepLines/>
            </w:pPr>
            <w:r/>
            <w:r>
              <w:rPr>
                <w:rFonts w:ascii="Arial" w:hAnsi="Arial"/>
                <w:b w:val="0"/>
                <w:sz w:val="19"/>
              </w:rPr>
              <w:t>10:45 – 11:00</w:t>
            </w:r>
          </w:p>
        </w:tc>
        <w:tc>
          <w:tcPr>
            <w:tcW w:type="dxa" w:w="7416"/>
            <w:shd w:val="clear" w:color="auto" w:fill="FDF3E3"/>
          </w:tcPr>
          <w:p>
            <w:pPr>
              <w:keepLines/>
            </w:pPr>
            <w:r/>
            <w:r>
              <w:rPr>
                <w:rFonts w:ascii="Arial" w:hAnsi="Arial"/>
                <w:b w:val="0"/>
                <w:sz w:val="19"/>
              </w:rPr>
              <w:t>Tea break</w:t>
            </w:r>
          </w:p>
        </w:tc>
        <w:tc>
          <w:tcPr>
            <w:tcW w:type="dxa" w:w="1224"/>
            <w:shd w:val="clear" w:color="auto" w:fill="FDF3E3"/>
          </w:tcPr>
          <w:p>
            <w:pPr>
              <w:keepLines/>
            </w:pPr>
            <w:r/>
            <w:r>
              <w:rPr>
                <w:rFonts w:ascii="Arial" w:hAnsi="Arial"/>
                <w:b w:val="0"/>
                <w:sz w:val="19"/>
              </w:rPr>
              <w:t>15 min</w:t>
            </w:r>
          </w:p>
        </w:tc>
      </w:tr>
      <w:tr>
        <w:trPr>
          <w:cantSplit/>
        </w:trPr>
        <w:tc>
          <w:tcPr>
            <w:tcW w:type="dxa" w:w="1656"/>
            <w:shd w:val="clear" w:color="auto" w:fill="E8F0FE"/>
          </w:tcPr>
          <w:p>
            <w:pPr>
              <w:keepLines/>
            </w:pPr>
            <w:r/>
            <w:r>
              <w:rPr>
                <w:rFonts w:ascii="Arial" w:hAnsi="Arial"/>
                <w:b w:val="0"/>
                <w:sz w:val="19"/>
              </w:rPr>
              <w:t>11:00 – 11:45</w:t>
            </w:r>
          </w:p>
        </w:tc>
        <w:tc>
          <w:tcPr>
            <w:tcW w:type="dxa" w:w="7416"/>
            <w:shd w:val="clear" w:color="auto" w:fill="E8F0FE"/>
          </w:tcPr>
          <w:p>
            <w:pPr>
              <w:keepLines/>
            </w:pPr>
            <w:r/>
            <w:r>
              <w:rPr>
                <w:rFonts w:ascii="Arial" w:hAnsi="Arial"/>
                <w:b w:val="0"/>
                <w:sz w:val="19"/>
              </w:rPr>
              <w:t>Topic 1: Agentic loop and harness engineering; AI agents, OpenClaw and Hermes, skills, tools and multi-agent systems (K2, K3)</w:t>
            </w:r>
          </w:p>
        </w:tc>
        <w:tc>
          <w:tcPr>
            <w:tcW w:type="dxa" w:w="1224"/>
            <w:shd w:val="clear" w:color="auto" w:fill="E8F0FE"/>
          </w:tcPr>
          <w:p>
            <w:pPr>
              <w:keepLines/>
            </w:pPr>
            <w:r/>
            <w:r>
              <w:rPr>
                <w:rFonts w:ascii="Arial" w:hAnsi="Arial"/>
                <w:b w:val="0"/>
                <w:sz w:val="19"/>
              </w:rPr>
              <w:t>45 min</w:t>
            </w:r>
          </w:p>
        </w:tc>
      </w:tr>
      <w:tr>
        <w:trPr>
          <w:cantSplit/>
        </w:trPr>
        <w:tc>
          <w:tcPr>
            <w:tcW w:type="dxa" w:w="1656"/>
            <w:shd w:val="clear" w:color="auto" w:fill="E6F7F1"/>
          </w:tcPr>
          <w:p>
            <w:pPr>
              <w:keepLines/>
            </w:pPr>
            <w:r/>
            <w:r>
              <w:rPr>
                <w:rFonts w:ascii="Arial" w:hAnsi="Arial"/>
                <w:b w:val="0"/>
                <w:sz w:val="19"/>
              </w:rPr>
              <w:t>11:45 – 12:30</w:t>
            </w:r>
          </w:p>
        </w:tc>
        <w:tc>
          <w:tcPr>
            <w:tcW w:type="dxa" w:w="7416"/>
            <w:shd w:val="clear" w:color="auto" w:fill="E6F7F1"/>
          </w:tcPr>
          <w:p>
            <w:pPr>
              <w:keepLines/>
            </w:pPr>
            <w:r/>
            <w:r>
              <w:rPr>
                <w:rFonts w:ascii="Arial" w:hAnsi="Arial"/>
                <w:b w:val="0"/>
                <w:sz w:val="19"/>
              </w:rPr>
              <w:t>Activity 1: Talk to the TIA Support AI agent on WhatsApp and post reflections to the Pinboard; debrief (A2, A4)</w:t>
            </w:r>
          </w:p>
        </w:tc>
        <w:tc>
          <w:tcPr>
            <w:tcW w:type="dxa" w:w="1224"/>
            <w:shd w:val="clear" w:color="auto" w:fill="E6F7F1"/>
          </w:tcPr>
          <w:p>
            <w:pPr>
              <w:keepLines/>
            </w:pPr>
            <w:r/>
            <w:r>
              <w:rPr>
                <w:rFonts w:ascii="Arial" w:hAnsi="Arial"/>
                <w:b w:val="0"/>
                <w:sz w:val="19"/>
              </w:rPr>
              <w:t>45 min</w:t>
            </w:r>
          </w:p>
        </w:tc>
      </w:tr>
      <w:tr>
        <w:trPr>
          <w:cantSplit/>
        </w:trPr>
        <w:tc>
          <w:tcPr>
            <w:tcW w:type="dxa" w:w="1656"/>
            <w:shd w:val="clear" w:color="auto" w:fill="FDF3E3"/>
          </w:tcPr>
          <w:p>
            <w:pPr>
              <w:keepLines/>
            </w:pPr>
            <w:r/>
            <w:r>
              <w:rPr>
                <w:rFonts w:ascii="Arial" w:hAnsi="Arial"/>
                <w:b w:val="0"/>
                <w:sz w:val="19"/>
              </w:rPr>
              <w:t>12:30 – 1:30</w:t>
            </w:r>
          </w:p>
        </w:tc>
        <w:tc>
          <w:tcPr>
            <w:tcW w:type="dxa" w:w="7416"/>
            <w:shd w:val="clear" w:color="auto" w:fill="FDF3E3"/>
          </w:tcPr>
          <w:p>
            <w:pPr>
              <w:keepLines/>
            </w:pPr>
            <w:r/>
            <w:r>
              <w:rPr>
                <w:rFonts w:ascii="Arial" w:hAnsi="Arial"/>
                <w:b w:val="0"/>
                <w:sz w:val="19"/>
              </w:rPr>
              <w:t>Lunch break</w:t>
            </w:r>
          </w:p>
        </w:tc>
        <w:tc>
          <w:tcPr>
            <w:tcW w:type="dxa" w:w="1224"/>
            <w:shd w:val="clear" w:color="auto" w:fill="FDF3E3"/>
          </w:tcPr>
          <w:p>
            <w:pPr>
              <w:keepLines/>
            </w:pPr>
            <w:r/>
            <w:r>
              <w:rPr>
                <w:rFonts w:ascii="Arial" w:hAnsi="Arial"/>
                <w:b w:val="0"/>
                <w:sz w:val="19"/>
              </w:rPr>
              <w:t>60 min</w:t>
            </w:r>
          </w:p>
        </w:tc>
      </w:tr>
      <w:tr>
        <w:trPr>
          <w:cantSplit/>
        </w:trPr>
        <w:tc>
          <w:tcPr>
            <w:tcW w:type="dxa" w:w="1656"/>
            <w:shd w:val="clear" w:color="auto" w:fill="E8F0FE"/>
          </w:tcPr>
          <w:p>
            <w:pPr>
              <w:keepLines/>
            </w:pPr>
            <w:r/>
            <w:r>
              <w:rPr>
                <w:rFonts w:ascii="Arial" w:hAnsi="Arial"/>
                <w:b w:val="0"/>
                <w:sz w:val="19"/>
              </w:rPr>
              <w:t>1:30 – 1:45</w:t>
            </w:r>
          </w:p>
        </w:tc>
        <w:tc>
          <w:tcPr>
            <w:tcW w:type="dxa" w:w="7416"/>
            <w:shd w:val="clear" w:color="auto" w:fill="E8F0FE"/>
          </w:tcPr>
          <w:p>
            <w:pPr>
              <w:keepLines/>
            </w:pPr>
            <w:r/>
            <w:r>
              <w:rPr>
                <w:rFonts w:ascii="Arial" w:hAnsi="Arial"/>
                <w:b w:val="0"/>
                <w:sz w:val="19"/>
              </w:rPr>
              <w:t>Topic 1 summary: generative AI vs agentic AI vs AI agents</w:t>
            </w:r>
          </w:p>
        </w:tc>
        <w:tc>
          <w:tcPr>
            <w:tcW w:type="dxa" w:w="1224"/>
            <w:shd w:val="clear" w:color="auto" w:fill="E8F0FE"/>
          </w:tcPr>
          <w:p>
            <w:pPr>
              <w:keepLines/>
            </w:pPr>
            <w:r/>
            <w:r>
              <w:rPr>
                <w:rFonts w:ascii="Arial" w:hAnsi="Arial"/>
                <w:b w:val="0"/>
                <w:sz w:val="19"/>
              </w:rPr>
              <w:t>15 min</w:t>
            </w:r>
          </w:p>
        </w:tc>
      </w:tr>
      <w:tr>
        <w:trPr>
          <w:cantSplit/>
        </w:trPr>
        <w:tc>
          <w:tcPr>
            <w:tcW w:type="dxa" w:w="1656"/>
            <w:shd w:val="clear" w:color="auto" w:fill="E8F0FE"/>
          </w:tcPr>
          <w:p>
            <w:pPr>
              <w:keepLines/>
            </w:pPr>
            <w:r/>
            <w:r>
              <w:rPr>
                <w:rFonts w:ascii="Arial" w:hAnsi="Arial"/>
                <w:b w:val="0"/>
                <w:sz w:val="19"/>
              </w:rPr>
              <w:t>1:45 – 2:20</w:t>
            </w:r>
          </w:p>
        </w:tc>
        <w:tc>
          <w:tcPr>
            <w:tcW w:type="dxa" w:w="7416"/>
            <w:shd w:val="clear" w:color="auto" w:fill="E8F0FE"/>
          </w:tcPr>
          <w:p>
            <w:pPr>
              <w:keepLines/>
            </w:pPr>
            <w:r/>
            <w:r>
              <w:rPr>
                <w:rFonts w:ascii="Arial" w:hAnsi="Arial"/>
                <w:b w:val="0"/>
                <w:sz w:val="19"/>
              </w:rPr>
              <w:t>Topic 2: Install the Hermes agent on MiniMax M2.7; principles of prompt engineering, good vs bad prompts (K4, A5)</w:t>
            </w:r>
          </w:p>
        </w:tc>
        <w:tc>
          <w:tcPr>
            <w:tcW w:type="dxa" w:w="1224"/>
            <w:shd w:val="clear" w:color="auto" w:fill="E8F0FE"/>
          </w:tcPr>
          <w:p>
            <w:pPr>
              <w:keepLines/>
            </w:pPr>
            <w:r/>
            <w:r>
              <w:rPr>
                <w:rFonts w:ascii="Arial" w:hAnsi="Arial"/>
                <w:b w:val="0"/>
                <w:sz w:val="19"/>
              </w:rPr>
              <w:t>35 min</w:t>
            </w:r>
          </w:p>
        </w:tc>
      </w:tr>
      <w:tr>
        <w:trPr>
          <w:cantSplit/>
        </w:trPr>
        <w:tc>
          <w:tcPr>
            <w:tcW w:type="dxa" w:w="1656"/>
            <w:shd w:val="clear" w:color="auto" w:fill="E6F7F1"/>
          </w:tcPr>
          <w:p>
            <w:pPr>
              <w:keepLines/>
            </w:pPr>
            <w:r/>
            <w:r>
              <w:rPr>
                <w:rFonts w:ascii="Arial" w:hAnsi="Arial"/>
                <w:b w:val="0"/>
                <w:sz w:val="19"/>
              </w:rPr>
              <w:t>2:20 – 3:10</w:t>
            </w:r>
          </w:p>
        </w:tc>
        <w:tc>
          <w:tcPr>
            <w:tcW w:type="dxa" w:w="7416"/>
            <w:shd w:val="clear" w:color="auto" w:fill="E6F7F1"/>
          </w:tcPr>
          <w:p>
            <w:pPr>
              <w:keepLines/>
            </w:pPr>
            <w:r/>
            <w:r>
              <w:rPr>
                <w:rFonts w:ascii="Arial" w:hAnsi="Arial"/>
                <w:b w:val="0"/>
                <w:sz w:val="19"/>
              </w:rPr>
              <w:t>Activity 2 &amp; 3: Upload mock Excel data and prompt the agent into charts and a .docx insights report, then build a 10-slide PPT and redesign it from an uploaded image template (K4, A5)</w:t>
            </w:r>
          </w:p>
        </w:tc>
        <w:tc>
          <w:tcPr>
            <w:tcW w:type="dxa" w:w="1224"/>
            <w:shd w:val="clear" w:color="auto" w:fill="E6F7F1"/>
          </w:tcPr>
          <w:p>
            <w:pPr>
              <w:keepLines/>
            </w:pPr>
            <w:r/>
            <w:r>
              <w:rPr>
                <w:rFonts w:ascii="Arial" w:hAnsi="Arial"/>
                <w:b w:val="0"/>
                <w:sz w:val="19"/>
              </w:rPr>
              <w:t>50 min</w:t>
            </w:r>
          </w:p>
        </w:tc>
      </w:tr>
      <w:tr>
        <w:trPr>
          <w:cantSplit/>
        </w:trPr>
        <w:tc>
          <w:tcPr>
            <w:tcW w:type="dxa" w:w="1656"/>
            <w:shd w:val="clear" w:color="auto" w:fill="FDF3E3"/>
          </w:tcPr>
          <w:p>
            <w:pPr>
              <w:keepLines/>
            </w:pPr>
            <w:r/>
            <w:r>
              <w:rPr>
                <w:rFonts w:ascii="Arial" w:hAnsi="Arial"/>
                <w:b w:val="0"/>
                <w:sz w:val="19"/>
              </w:rPr>
              <w:t>3:10 – 3:25</w:t>
            </w:r>
          </w:p>
        </w:tc>
        <w:tc>
          <w:tcPr>
            <w:tcW w:type="dxa" w:w="7416"/>
            <w:shd w:val="clear" w:color="auto" w:fill="FDF3E3"/>
          </w:tcPr>
          <w:p>
            <w:pPr>
              <w:keepLines/>
            </w:pPr>
            <w:r/>
            <w:r>
              <w:rPr>
                <w:rFonts w:ascii="Arial" w:hAnsi="Arial"/>
                <w:b w:val="0"/>
                <w:sz w:val="19"/>
              </w:rPr>
              <w:t>Tea break</w:t>
            </w:r>
          </w:p>
        </w:tc>
        <w:tc>
          <w:tcPr>
            <w:tcW w:type="dxa" w:w="1224"/>
            <w:shd w:val="clear" w:color="auto" w:fill="FDF3E3"/>
          </w:tcPr>
          <w:p>
            <w:pPr>
              <w:keepLines/>
            </w:pPr>
            <w:r/>
            <w:r>
              <w:rPr>
                <w:rFonts w:ascii="Arial" w:hAnsi="Arial"/>
                <w:b w:val="0"/>
                <w:sz w:val="19"/>
              </w:rPr>
              <w:t>15 min</w:t>
            </w:r>
          </w:p>
        </w:tc>
      </w:tr>
      <w:tr>
        <w:trPr>
          <w:cantSplit/>
        </w:trPr>
        <w:tc>
          <w:tcPr>
            <w:tcW w:type="dxa" w:w="1656"/>
            <w:shd w:val="clear" w:color="auto" w:fill="E6F7F1"/>
          </w:tcPr>
          <w:p>
            <w:pPr>
              <w:keepLines/>
            </w:pPr>
            <w:r/>
            <w:r>
              <w:rPr>
                <w:rFonts w:ascii="Arial" w:hAnsi="Arial"/>
                <w:b w:val="0"/>
                <w:sz w:val="19"/>
              </w:rPr>
              <w:t>3:25 – 3:50</w:t>
            </w:r>
          </w:p>
        </w:tc>
        <w:tc>
          <w:tcPr>
            <w:tcW w:type="dxa" w:w="7416"/>
            <w:shd w:val="clear" w:color="auto" w:fill="E6F7F1"/>
          </w:tcPr>
          <w:p>
            <w:pPr>
              <w:keepLines/>
            </w:pPr>
            <w:r/>
            <w:r>
              <w:rPr>
                <w:rFonts w:ascii="Arial" w:hAnsi="Arial"/>
                <w:b w:val="0"/>
                <w:sz w:val="19"/>
              </w:rPr>
              <w:t>Activity 4: Install tools and skills, re-run the Excel and PPT tasks; Topic 2 reflection and debrief (A1, A5)</w:t>
            </w:r>
          </w:p>
        </w:tc>
        <w:tc>
          <w:tcPr>
            <w:tcW w:type="dxa" w:w="1224"/>
            <w:shd w:val="clear" w:color="auto" w:fill="E6F7F1"/>
          </w:tcPr>
          <w:p>
            <w:pPr>
              <w:keepLines/>
            </w:pPr>
            <w:r/>
            <w:r>
              <w:rPr>
                <w:rFonts w:ascii="Arial" w:hAnsi="Arial"/>
                <w:b w:val="0"/>
                <w:sz w:val="19"/>
              </w:rPr>
              <w:t>25 min</w:t>
            </w:r>
          </w:p>
        </w:tc>
      </w:tr>
      <w:tr>
        <w:trPr>
          <w:cantSplit/>
        </w:trPr>
        <w:tc>
          <w:tcPr>
            <w:tcW w:type="dxa" w:w="1656"/>
            <w:shd w:val="clear" w:color="auto" w:fill="E6F7F1"/>
          </w:tcPr>
          <w:p>
            <w:pPr>
              <w:keepLines/>
            </w:pPr>
            <w:r/>
            <w:r>
              <w:rPr>
                <w:rFonts w:ascii="Arial" w:hAnsi="Arial"/>
                <w:b w:val="0"/>
                <w:sz w:val="19"/>
              </w:rPr>
              <w:t>3:50 – 4:35</w:t>
            </w:r>
          </w:p>
        </w:tc>
        <w:tc>
          <w:tcPr>
            <w:tcW w:type="dxa" w:w="7416"/>
            <w:shd w:val="clear" w:color="auto" w:fill="E6F7F1"/>
          </w:tcPr>
          <w:p>
            <w:pPr>
              <w:keepLines/>
            </w:pPr>
            <w:r/>
            <w:r>
              <w:rPr>
                <w:rFonts w:ascii="Arial" w:hAnsi="Arial"/>
                <w:b w:val="0"/>
                <w:sz w:val="19"/>
              </w:rPr>
              <w:t>Topic 3: AI data governance and accountability (Moffatt v Air Canada); Activity 5 — generate an AI data governance policy with the policy-generator website (A1, A2)</w:t>
            </w:r>
          </w:p>
        </w:tc>
        <w:tc>
          <w:tcPr>
            <w:tcW w:type="dxa" w:w="1224"/>
            <w:shd w:val="clear" w:color="auto" w:fill="E6F7F1"/>
          </w:tcPr>
          <w:p>
            <w:pPr>
              <w:keepLines/>
            </w:pPr>
            <w:r/>
            <w:r>
              <w:rPr>
                <w:rFonts w:ascii="Arial" w:hAnsi="Arial"/>
                <w:b w:val="0"/>
                <w:sz w:val="19"/>
              </w:rPr>
              <w:t>45 min</w:t>
            </w:r>
          </w:p>
        </w:tc>
      </w:tr>
      <w:tr>
        <w:trPr>
          <w:cantSplit/>
        </w:trPr>
        <w:tc>
          <w:tcPr>
            <w:tcW w:type="dxa" w:w="1656"/>
            <w:shd w:val="clear" w:color="auto" w:fill="E6F7F1"/>
          </w:tcPr>
          <w:p>
            <w:pPr>
              <w:keepLines/>
            </w:pPr>
            <w:r/>
            <w:r>
              <w:rPr>
                <w:rFonts w:ascii="Arial" w:hAnsi="Arial"/>
                <w:b w:val="0"/>
                <w:sz w:val="19"/>
              </w:rPr>
              <w:t>4:35 – 5:15</w:t>
            </w:r>
          </w:p>
        </w:tc>
        <w:tc>
          <w:tcPr>
            <w:tcW w:type="dxa" w:w="7416"/>
            <w:shd w:val="clear" w:color="auto" w:fill="E6F7F1"/>
          </w:tcPr>
          <w:p>
            <w:pPr>
              <w:keepLines/>
            </w:pPr>
            <w:r/>
            <w:r>
              <w:rPr>
                <w:rFonts w:ascii="Arial" w:hAnsi="Arial"/>
                <w:b w:val="0"/>
                <w:sz w:val="19"/>
              </w:rPr>
              <w:t>Topic 3: Job impact and redesign; Activity 6 — coaching role-play simulator (A2)</w:t>
            </w:r>
          </w:p>
        </w:tc>
        <w:tc>
          <w:tcPr>
            <w:tcW w:type="dxa" w:w="1224"/>
            <w:shd w:val="clear" w:color="auto" w:fill="E6F7F1"/>
          </w:tcPr>
          <w:p>
            <w:pPr>
              <w:keepLines/>
            </w:pPr>
            <w:r/>
            <w:r>
              <w:rPr>
                <w:rFonts w:ascii="Arial" w:hAnsi="Arial"/>
                <w:b w:val="0"/>
                <w:sz w:val="19"/>
              </w:rPr>
              <w:t>40 min</w:t>
            </w:r>
          </w:p>
        </w:tc>
      </w:tr>
      <w:tr>
        <w:trPr>
          <w:cantSplit/>
        </w:trPr>
        <w:tc>
          <w:tcPr>
            <w:tcW w:type="dxa" w:w="1656"/>
            <w:shd w:val="clear" w:color="auto" w:fill="E6F7F1"/>
          </w:tcPr>
          <w:p>
            <w:pPr>
              <w:keepLines/>
            </w:pPr>
            <w:r/>
            <w:r>
              <w:rPr>
                <w:rFonts w:ascii="Arial" w:hAnsi="Arial"/>
                <w:b w:val="0"/>
                <w:sz w:val="19"/>
              </w:rPr>
              <w:t>5:15 – 6:00</w:t>
            </w:r>
          </w:p>
        </w:tc>
        <w:tc>
          <w:tcPr>
            <w:tcW w:type="dxa" w:w="7416"/>
            <w:shd w:val="clear" w:color="auto" w:fill="E6F7F1"/>
          </w:tcPr>
          <w:p>
            <w:pPr>
              <w:keepLines/>
            </w:pPr>
            <w:r/>
            <w:r>
              <w:rPr>
                <w:rFonts w:ascii="Arial" w:hAnsi="Arial"/>
                <w:b w:val="0"/>
                <w:sz w:val="19"/>
              </w:rPr>
              <w:t>Topic 3: AI-agent cybersecurity risks, advanced threats (prompt injection, jailbreaking, data poisoning, supply-chain and agent-to-agent attacks) and safe rollout; Activities 7 &amp; 8 — leaky vs guarded chatbots and security reflection (A1, A2)</w:t>
            </w:r>
          </w:p>
        </w:tc>
        <w:tc>
          <w:tcPr>
            <w:tcW w:type="dxa" w:w="1224"/>
            <w:shd w:val="clear" w:color="auto" w:fill="E6F7F1"/>
          </w:tcPr>
          <w:p>
            <w:pPr>
              <w:keepLines/>
            </w:pPr>
            <w:r/>
            <w:r>
              <w:rPr>
                <w:rFonts w:ascii="Arial" w:hAnsi="Arial"/>
                <w:b w:val="0"/>
                <w:sz w:val="19"/>
              </w:rPr>
              <w:t>45 min</w:t>
            </w:r>
          </w:p>
        </w:tc>
      </w:tr>
      <w:tr>
        <w:trPr>
          <w:cantSplit/>
        </w:trPr>
        <w:tc>
          <w:tcPr>
            <w:tcW w:type="dxa" w:w="1656"/>
            <w:shd w:val="clear" w:color="auto" w:fill="FDECEC"/>
          </w:tcPr>
          <w:p>
            <w:pPr>
              <w:keepLines/>
            </w:pPr>
            <w:r/>
            <w:r>
              <w:rPr>
                <w:rFonts w:ascii="Arial" w:hAnsi="Arial"/>
                <w:b w:val="0"/>
                <w:sz w:val="19"/>
              </w:rPr>
              <w:t>6:00 – 6:35</w:t>
            </w:r>
          </w:p>
        </w:tc>
        <w:tc>
          <w:tcPr>
            <w:tcW w:type="dxa" w:w="7416"/>
            <w:shd w:val="clear" w:color="auto" w:fill="FDECEC"/>
          </w:tcPr>
          <w:p>
            <w:pPr>
              <w:keepLines/>
            </w:pPr>
            <w:r/>
            <w:r>
              <w:rPr>
                <w:rFonts w:ascii="Arial" w:hAnsi="Arial"/>
                <w:b w:val="0"/>
                <w:sz w:val="19"/>
              </w:rPr>
              <w:t>Briefing for assessment; Written Assessment (SAQ) — 5 questions, one per K statement (K1-K5)</w:t>
            </w:r>
          </w:p>
        </w:tc>
        <w:tc>
          <w:tcPr>
            <w:tcW w:type="dxa" w:w="1224"/>
            <w:shd w:val="clear" w:color="auto" w:fill="FDECEC"/>
          </w:tcPr>
          <w:p>
            <w:pPr>
              <w:keepLines/>
            </w:pPr>
            <w:r/>
            <w:r>
              <w:rPr>
                <w:rFonts w:ascii="Arial" w:hAnsi="Arial"/>
                <w:b w:val="0"/>
                <w:sz w:val="19"/>
              </w:rPr>
              <w:t>35 min</w:t>
            </w:r>
          </w:p>
        </w:tc>
      </w:tr>
      <w:tr>
        <w:trPr>
          <w:cantSplit/>
        </w:trPr>
        <w:tc>
          <w:tcPr>
            <w:tcW w:type="dxa" w:w="1656"/>
            <w:shd w:val="clear" w:color="auto" w:fill="FDECEC"/>
          </w:tcPr>
          <w:p>
            <w:pPr>
              <w:keepLines/>
            </w:pPr>
            <w:r/>
            <w:r>
              <w:rPr>
                <w:rFonts w:ascii="Arial" w:hAnsi="Arial"/>
                <w:b w:val="0"/>
                <w:sz w:val="19"/>
              </w:rPr>
              <w:t>6:35 – 7:00</w:t>
            </w:r>
          </w:p>
        </w:tc>
        <w:tc>
          <w:tcPr>
            <w:tcW w:type="dxa" w:w="7416"/>
            <w:shd w:val="clear" w:color="auto" w:fill="FDECEC"/>
          </w:tcPr>
          <w:p>
            <w:pPr>
              <w:keepLines/>
            </w:pPr>
            <w:r/>
            <w:r>
              <w:rPr>
                <w:rFonts w:ascii="Arial" w:hAnsi="Arial"/>
                <w:b w:val="0"/>
                <w:sz w:val="19"/>
              </w:rPr>
              <w:t>Case Study — 3 reflection tasks (two questions each) on the activities completed; TRAQOM close</w:t>
            </w:r>
          </w:p>
        </w:tc>
        <w:tc>
          <w:tcPr>
            <w:tcW w:type="dxa" w:w="1224"/>
            <w:shd w:val="clear" w:color="auto" w:fill="FDECEC"/>
          </w:tcPr>
          <w:p>
            <w:pPr>
              <w:keepLines/>
            </w:pPr>
            <w:r/>
            <w:r>
              <w:rPr>
                <w:rFonts w:ascii="Arial" w:hAnsi="Arial"/>
                <w:b w:val="0"/>
                <w:sz w:val="19"/>
              </w:rPr>
              <w:t>25 min</w:t>
            </w:r>
          </w:p>
        </w:tc>
      </w:tr>
    </w:tbl>
    <w:p>
      <w:pPr>
        <w:spacing w:after="120"/>
      </w:pPr>
      <w:r>
        <w:rPr>
          <w:rFonts w:ascii="Arial" w:hAnsi="Arial"/>
          <w:b w:val="0"/>
          <w:color w:val="111827"/>
          <w:sz w:val="22"/>
        </w:rPr>
      </w:r>
    </w:p>
    <w:p>
      <w:pPr>
        <w:spacing w:after="120"/>
      </w:pPr>
      <w:r>
        <w:rPr>
          <w:rFonts w:ascii="Arial" w:hAnsi="Arial"/>
          <w:b/>
          <w:color w:val="111827"/>
          <w:sz w:val="20"/>
        </w:rPr>
        <w:t>Instructional total: 480 minutes (8 hours), excluding the 1-hour lunch break and the 1-hour assessment.</w:t>
      </w:r>
    </w:p>
    <w:p>
      <w:r>
        <w:br w:type="page"/>
      </w:r>
    </w:p>
    <w:p>
      <w:pPr>
        <w:pStyle w:val="Heading1"/>
      </w:pPr>
      <w:r>
        <w:t>3. Activities</w:t>
      </w:r>
    </w:p>
    <w:p>
      <w:pPr>
        <w:spacing w:after="120"/>
      </w:pPr>
      <w:r>
        <w:rPr>
          <w:rFonts w:ascii="Arial" w:hAnsi="Arial"/>
          <w:b w:val="0"/>
          <w:color w:val="111827"/>
          <w:sz w:val="22"/>
        </w:rPr>
        <w:t>Every activity uses a ready-made website, chatbot or AI agent — learners do not write any code. Each has its own folder under activities/ containing learner instructions, prompt cards, mock data and printable PDFs. All data is fictional. Full step-by-step facilitation detail is in the Learner Guide.</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504"/>
            <w:shd w:val="clear" w:color="auto" w:fill="1F6FEB"/>
          </w:tcPr>
          <w:p>
            <w:pPr>
              <w:keepNext/>
              <w:keepLines/>
            </w:pPr>
            <w:r/>
            <w:r>
              <w:rPr>
                <w:rFonts w:ascii="Arial" w:hAnsi="Arial"/>
                <w:b/>
                <w:color w:val="FFFFFF"/>
                <w:sz w:val="20"/>
              </w:rPr>
              <w:t>#</w:t>
            </w:r>
          </w:p>
        </w:tc>
        <w:tc>
          <w:tcPr>
            <w:tcW w:type="dxa" w:w="5256"/>
            <w:shd w:val="clear" w:color="auto" w:fill="1F6FEB"/>
          </w:tcPr>
          <w:p>
            <w:pPr>
              <w:keepNext/>
              <w:keepLines/>
            </w:pPr>
            <w:r/>
            <w:r>
              <w:rPr>
                <w:rFonts w:ascii="Arial" w:hAnsi="Arial"/>
                <w:b/>
                <w:color w:val="FFFFFF"/>
                <w:sz w:val="20"/>
              </w:rPr>
              <w:t>Activity</w:t>
            </w:r>
          </w:p>
        </w:tc>
        <w:tc>
          <w:tcPr>
            <w:tcW w:type="dxa" w:w="864"/>
            <w:shd w:val="clear" w:color="auto" w:fill="1F6FEB"/>
          </w:tcPr>
          <w:p>
            <w:pPr>
              <w:keepNext/>
              <w:keepLines/>
            </w:pPr>
            <w:r/>
            <w:r>
              <w:rPr>
                <w:rFonts w:ascii="Arial" w:hAnsi="Arial"/>
                <w:b/>
                <w:color w:val="FFFFFF"/>
                <w:sz w:val="20"/>
              </w:rPr>
              <w:t>Topic</w:t>
            </w:r>
          </w:p>
        </w:tc>
        <w:tc>
          <w:tcPr>
            <w:tcW w:type="dxa" w:w="1224"/>
            <w:shd w:val="clear" w:color="auto" w:fill="1F6FEB"/>
          </w:tcPr>
          <w:p>
            <w:pPr>
              <w:keepNext/>
              <w:keepLines/>
            </w:pPr>
            <w:r/>
            <w:r>
              <w:rPr>
                <w:rFonts w:ascii="Arial" w:hAnsi="Arial"/>
                <w:b/>
                <w:color w:val="FFFFFF"/>
                <w:sz w:val="20"/>
              </w:rPr>
              <w:t>Duration</w:t>
            </w:r>
          </w:p>
        </w:tc>
        <w:tc>
          <w:tcPr>
            <w:tcW w:type="dxa" w:w="2016"/>
            <w:shd w:val="clear" w:color="auto" w:fill="1F6FEB"/>
          </w:tcPr>
          <w:p>
            <w:pPr>
              <w:keepNext/>
              <w:keepLines/>
            </w:pPr>
            <w:r/>
            <w:r>
              <w:rPr>
                <w:rFonts w:ascii="Arial" w:hAnsi="Arial"/>
                <w:b/>
                <w:color w:val="FFFFFF"/>
                <w:sz w:val="20"/>
              </w:rPr>
              <w:t>LO / A</w:t>
            </w:r>
          </w:p>
        </w:tc>
      </w:tr>
      <w:tr>
        <w:trPr>
          <w:cantSplit/>
        </w:trPr>
        <w:tc>
          <w:tcPr>
            <w:tcW w:type="dxa" w:w="504"/>
          </w:tcPr>
          <w:p>
            <w:pPr>
              <w:keepNext/>
              <w:keepLines/>
            </w:pPr>
            <w:r/>
            <w:r>
              <w:rPr>
                <w:rFonts w:ascii="Arial" w:hAnsi="Arial"/>
                <w:b/>
                <w:sz w:val="19"/>
              </w:rPr>
              <w:t>1</w:t>
            </w:r>
          </w:p>
        </w:tc>
        <w:tc>
          <w:tcPr>
            <w:tcW w:type="dxa" w:w="5256"/>
          </w:tcPr>
          <w:p>
            <w:pPr>
              <w:keepNext/>
              <w:keepLines/>
            </w:pPr>
            <w:r/>
            <w:r>
              <w:rPr>
                <w:rFonts w:ascii="Arial" w:hAnsi="Arial"/>
                <w:b w:val="0"/>
                <w:sz w:val="19"/>
              </w:rPr>
              <w:t>Talk to an AI Agent (TIA Support WhatsApp) and reflect on the Pinboard</w:t>
            </w:r>
          </w:p>
        </w:tc>
        <w:tc>
          <w:tcPr>
            <w:tcW w:type="dxa" w:w="864"/>
          </w:tcPr>
          <w:p>
            <w:pPr>
              <w:keepNext/>
              <w:keepLines/>
            </w:pPr>
            <w:r/>
            <w:r>
              <w:rPr>
                <w:rFonts w:ascii="Arial" w:hAnsi="Arial"/>
                <w:b w:val="0"/>
                <w:sz w:val="19"/>
              </w:rPr>
              <w:t>1</w:t>
            </w:r>
          </w:p>
        </w:tc>
        <w:tc>
          <w:tcPr>
            <w:tcW w:type="dxa" w:w="1224"/>
          </w:tcPr>
          <w:p>
            <w:pPr>
              <w:keepNext/>
              <w:keepLines/>
            </w:pPr>
            <w:r/>
            <w:r>
              <w:rPr>
                <w:rFonts w:ascii="Arial" w:hAnsi="Arial"/>
                <w:b w:val="0"/>
                <w:sz w:val="19"/>
              </w:rPr>
              <w:t>45 min</w:t>
            </w:r>
          </w:p>
        </w:tc>
        <w:tc>
          <w:tcPr>
            <w:tcW w:type="dxa" w:w="2016"/>
          </w:tcPr>
          <w:p>
            <w:pPr>
              <w:keepNext/>
              <w:keepLines/>
            </w:pPr>
            <w:r/>
            <w:r>
              <w:rPr>
                <w:rFonts w:ascii="Arial" w:hAnsi="Arial"/>
                <w:b w:val="0"/>
                <w:sz w:val="19"/>
              </w:rPr>
              <w:t>LO1 · A2, A4</w:t>
            </w:r>
          </w:p>
        </w:tc>
      </w:tr>
      <w:tr>
        <w:trPr>
          <w:cantSplit/>
        </w:trPr>
        <w:tc>
          <w:tcPr>
            <w:tcW w:type="dxa" w:w="504"/>
          </w:tcPr>
          <w:p>
            <w:pPr>
              <w:keepNext/>
              <w:keepLines/>
            </w:pPr>
            <w:r/>
            <w:r>
              <w:rPr>
                <w:rFonts w:ascii="Arial" w:hAnsi="Arial"/>
                <w:b/>
                <w:sz w:val="19"/>
              </w:rPr>
              <w:t>2</w:t>
            </w:r>
          </w:p>
        </w:tc>
        <w:tc>
          <w:tcPr>
            <w:tcW w:type="dxa" w:w="5256"/>
          </w:tcPr>
          <w:p>
            <w:pPr>
              <w:keepNext/>
              <w:keepLines/>
            </w:pPr>
            <w:r/>
            <w:r>
              <w:rPr>
                <w:rFonts w:ascii="Arial" w:hAnsi="Arial"/>
                <w:b w:val="0"/>
                <w:sz w:val="19"/>
              </w:rPr>
              <w:t>Analyse mock Excel marketing data into a charted .docx report with the Hermes + MiniMax agent</w:t>
            </w:r>
          </w:p>
        </w:tc>
        <w:tc>
          <w:tcPr>
            <w:tcW w:type="dxa" w:w="864"/>
          </w:tcPr>
          <w:p>
            <w:pPr>
              <w:keepNext/>
              <w:keepLines/>
            </w:pPr>
            <w:r/>
            <w:r>
              <w:rPr>
                <w:rFonts w:ascii="Arial" w:hAnsi="Arial"/>
                <w:b w:val="0"/>
                <w:sz w:val="19"/>
              </w:rPr>
              <w:t>2</w:t>
            </w:r>
          </w:p>
        </w:tc>
        <w:tc>
          <w:tcPr>
            <w:tcW w:type="dxa" w:w="1224"/>
          </w:tcPr>
          <w:p>
            <w:pPr>
              <w:keepNext/>
              <w:keepLines/>
            </w:pPr>
            <w:r/>
            <w:r>
              <w:rPr>
                <w:rFonts w:ascii="Arial" w:hAnsi="Arial"/>
                <w:b w:val="0"/>
                <w:sz w:val="19"/>
              </w:rPr>
              <w:t>25 min</w:t>
            </w:r>
          </w:p>
        </w:tc>
        <w:tc>
          <w:tcPr>
            <w:tcW w:type="dxa" w:w="2016"/>
          </w:tcPr>
          <w:p>
            <w:pPr>
              <w:keepNext/>
              <w:keepLines/>
            </w:pPr>
            <w:r/>
            <w:r>
              <w:rPr>
                <w:rFonts w:ascii="Arial" w:hAnsi="Arial"/>
                <w:b w:val="0"/>
                <w:sz w:val="19"/>
              </w:rPr>
              <w:t>LO2 · A5</w:t>
            </w:r>
          </w:p>
        </w:tc>
      </w:tr>
      <w:tr>
        <w:trPr>
          <w:cantSplit/>
        </w:trPr>
        <w:tc>
          <w:tcPr>
            <w:tcW w:type="dxa" w:w="504"/>
          </w:tcPr>
          <w:p>
            <w:pPr>
              <w:keepNext/>
              <w:keepLines/>
            </w:pPr>
            <w:r/>
            <w:r>
              <w:rPr>
                <w:rFonts w:ascii="Arial" w:hAnsi="Arial"/>
                <w:b/>
                <w:sz w:val="19"/>
              </w:rPr>
              <w:t>3</w:t>
            </w:r>
          </w:p>
        </w:tc>
        <w:tc>
          <w:tcPr>
            <w:tcW w:type="dxa" w:w="5256"/>
          </w:tcPr>
          <w:p>
            <w:pPr>
              <w:keepNext/>
              <w:keepLines/>
            </w:pPr>
            <w:r/>
            <w:r>
              <w:rPr>
                <w:rFonts w:ascii="Arial" w:hAnsi="Arial"/>
                <w:b w:val="0"/>
                <w:sz w:val="19"/>
              </w:rPr>
              <w:t>Create a 10-slide PPT with the agent, then redesign it from an uploaded image template</w:t>
            </w:r>
          </w:p>
        </w:tc>
        <w:tc>
          <w:tcPr>
            <w:tcW w:type="dxa" w:w="864"/>
          </w:tcPr>
          <w:p>
            <w:pPr>
              <w:keepNext/>
              <w:keepLines/>
            </w:pPr>
            <w:r/>
            <w:r>
              <w:rPr>
                <w:rFonts w:ascii="Arial" w:hAnsi="Arial"/>
                <w:b w:val="0"/>
                <w:sz w:val="19"/>
              </w:rPr>
              <w:t>2</w:t>
            </w:r>
          </w:p>
        </w:tc>
        <w:tc>
          <w:tcPr>
            <w:tcW w:type="dxa" w:w="1224"/>
          </w:tcPr>
          <w:p>
            <w:pPr>
              <w:keepNext/>
              <w:keepLines/>
            </w:pPr>
            <w:r/>
            <w:r>
              <w:rPr>
                <w:rFonts w:ascii="Arial" w:hAnsi="Arial"/>
                <w:b w:val="0"/>
                <w:sz w:val="19"/>
              </w:rPr>
              <w:t>25 min</w:t>
            </w:r>
          </w:p>
        </w:tc>
        <w:tc>
          <w:tcPr>
            <w:tcW w:type="dxa" w:w="2016"/>
          </w:tcPr>
          <w:p>
            <w:pPr>
              <w:keepNext/>
              <w:keepLines/>
            </w:pPr>
            <w:r/>
            <w:r>
              <w:rPr>
                <w:rFonts w:ascii="Arial" w:hAnsi="Arial"/>
                <w:b w:val="0"/>
                <w:sz w:val="19"/>
              </w:rPr>
              <w:t>LO2 · A5</w:t>
            </w:r>
          </w:p>
        </w:tc>
      </w:tr>
      <w:tr>
        <w:trPr>
          <w:cantSplit/>
        </w:trPr>
        <w:tc>
          <w:tcPr>
            <w:tcW w:type="dxa" w:w="504"/>
          </w:tcPr>
          <w:p>
            <w:pPr>
              <w:keepNext/>
              <w:keepLines/>
            </w:pPr>
            <w:r/>
            <w:r>
              <w:rPr>
                <w:rFonts w:ascii="Arial" w:hAnsi="Arial"/>
                <w:b/>
                <w:sz w:val="19"/>
              </w:rPr>
              <w:t>4</w:t>
            </w:r>
          </w:p>
        </w:tc>
        <w:tc>
          <w:tcPr>
            <w:tcW w:type="dxa" w:w="5256"/>
          </w:tcPr>
          <w:p>
            <w:pPr>
              <w:keepNext/>
              <w:keepLines/>
            </w:pPr>
            <w:r/>
            <w:r>
              <w:rPr>
                <w:rFonts w:ascii="Arial" w:hAnsi="Arial"/>
                <w:b w:val="0"/>
                <w:sz w:val="19"/>
              </w:rPr>
              <w:t>Install tools and skills, then re-run the Excel and PPT tasks</w:t>
            </w:r>
          </w:p>
        </w:tc>
        <w:tc>
          <w:tcPr>
            <w:tcW w:type="dxa" w:w="864"/>
          </w:tcPr>
          <w:p>
            <w:pPr>
              <w:keepNext/>
              <w:keepLines/>
            </w:pPr>
            <w:r/>
            <w:r>
              <w:rPr>
                <w:rFonts w:ascii="Arial" w:hAnsi="Arial"/>
                <w:b w:val="0"/>
                <w:sz w:val="19"/>
              </w:rPr>
              <w:t>2</w:t>
            </w:r>
          </w:p>
        </w:tc>
        <w:tc>
          <w:tcPr>
            <w:tcW w:type="dxa" w:w="1224"/>
          </w:tcPr>
          <w:p>
            <w:pPr>
              <w:keepNext/>
              <w:keepLines/>
            </w:pPr>
            <w:r/>
            <w:r>
              <w:rPr>
                <w:rFonts w:ascii="Arial" w:hAnsi="Arial"/>
                <w:b w:val="0"/>
                <w:sz w:val="19"/>
              </w:rPr>
              <w:t>25 min</w:t>
            </w:r>
          </w:p>
        </w:tc>
        <w:tc>
          <w:tcPr>
            <w:tcW w:type="dxa" w:w="2016"/>
          </w:tcPr>
          <w:p>
            <w:pPr>
              <w:keepNext/>
              <w:keepLines/>
            </w:pPr>
            <w:r/>
            <w:r>
              <w:rPr>
                <w:rFonts w:ascii="Arial" w:hAnsi="Arial"/>
                <w:b w:val="0"/>
                <w:sz w:val="19"/>
              </w:rPr>
              <w:t>LO2 · A1, A5</w:t>
            </w:r>
          </w:p>
        </w:tc>
      </w:tr>
      <w:tr>
        <w:trPr>
          <w:cantSplit/>
        </w:trPr>
        <w:tc>
          <w:tcPr>
            <w:tcW w:type="dxa" w:w="504"/>
          </w:tcPr>
          <w:p>
            <w:pPr>
              <w:keepNext/>
              <w:keepLines/>
            </w:pPr>
            <w:r/>
            <w:r>
              <w:rPr>
                <w:rFonts w:ascii="Arial" w:hAnsi="Arial"/>
                <w:b/>
                <w:sz w:val="19"/>
              </w:rPr>
              <w:t>5</w:t>
            </w:r>
          </w:p>
        </w:tc>
        <w:tc>
          <w:tcPr>
            <w:tcW w:type="dxa" w:w="5256"/>
          </w:tcPr>
          <w:p>
            <w:pPr>
              <w:keepNext/>
              <w:keepLines/>
            </w:pPr>
            <w:r/>
            <w:r>
              <w:rPr>
                <w:rFonts w:ascii="Arial" w:hAnsi="Arial"/>
                <w:b w:val="0"/>
                <w:sz w:val="19"/>
              </w:rPr>
              <w:t>Generate an AI Data Governance Policy with the policy-generator website</w:t>
            </w:r>
          </w:p>
        </w:tc>
        <w:tc>
          <w:tcPr>
            <w:tcW w:type="dxa" w:w="864"/>
          </w:tcPr>
          <w:p>
            <w:pPr>
              <w:keepNext/>
              <w:keepLines/>
            </w:pPr>
            <w:r/>
            <w:r>
              <w:rPr>
                <w:rFonts w:ascii="Arial" w:hAnsi="Arial"/>
                <w:b w:val="0"/>
                <w:sz w:val="19"/>
              </w:rPr>
              <w:t>3</w:t>
            </w:r>
          </w:p>
        </w:tc>
        <w:tc>
          <w:tcPr>
            <w:tcW w:type="dxa" w:w="1224"/>
          </w:tcPr>
          <w:p>
            <w:pPr>
              <w:keepNext/>
              <w:keepLines/>
            </w:pPr>
            <w:r/>
            <w:r>
              <w:rPr>
                <w:rFonts w:ascii="Arial" w:hAnsi="Arial"/>
                <w:b w:val="0"/>
                <w:sz w:val="19"/>
              </w:rPr>
              <w:t>30 min</w:t>
            </w:r>
          </w:p>
        </w:tc>
        <w:tc>
          <w:tcPr>
            <w:tcW w:type="dxa" w:w="2016"/>
          </w:tcPr>
          <w:p>
            <w:pPr>
              <w:keepNext/>
              <w:keepLines/>
            </w:pPr>
            <w:r/>
            <w:r>
              <w:rPr>
                <w:rFonts w:ascii="Arial" w:hAnsi="Arial"/>
                <w:b w:val="0"/>
                <w:sz w:val="19"/>
              </w:rPr>
              <w:t>LO3 · A1, A2</w:t>
            </w:r>
          </w:p>
        </w:tc>
      </w:tr>
      <w:tr>
        <w:trPr>
          <w:cantSplit/>
        </w:trPr>
        <w:tc>
          <w:tcPr>
            <w:tcW w:type="dxa" w:w="504"/>
          </w:tcPr>
          <w:p>
            <w:pPr>
              <w:keepNext/>
              <w:keepLines/>
            </w:pPr>
            <w:r/>
            <w:r>
              <w:rPr>
                <w:rFonts w:ascii="Arial" w:hAnsi="Arial"/>
                <w:b/>
                <w:sz w:val="19"/>
              </w:rPr>
              <w:t>6</w:t>
            </w:r>
          </w:p>
        </w:tc>
        <w:tc>
          <w:tcPr>
            <w:tcW w:type="dxa" w:w="5256"/>
          </w:tcPr>
          <w:p>
            <w:pPr>
              <w:keepNext/>
              <w:keepLines/>
            </w:pPr>
            <w:r/>
            <w:r>
              <w:rPr>
                <w:rFonts w:ascii="Arial" w:hAnsi="Arial"/>
                <w:b w:val="0"/>
                <w:sz w:val="19"/>
              </w:rPr>
              <w:t>Coach a worried team member (AI role-play simulator)</w:t>
            </w:r>
          </w:p>
        </w:tc>
        <w:tc>
          <w:tcPr>
            <w:tcW w:type="dxa" w:w="864"/>
          </w:tcPr>
          <w:p>
            <w:pPr>
              <w:keepNext/>
              <w:keepLines/>
            </w:pPr>
            <w:r/>
            <w:r>
              <w:rPr>
                <w:rFonts w:ascii="Arial" w:hAnsi="Arial"/>
                <w:b w:val="0"/>
                <w:sz w:val="19"/>
              </w:rPr>
              <w:t>3</w:t>
            </w:r>
          </w:p>
        </w:tc>
        <w:tc>
          <w:tcPr>
            <w:tcW w:type="dxa" w:w="1224"/>
          </w:tcPr>
          <w:p>
            <w:pPr>
              <w:keepNext/>
              <w:keepLines/>
            </w:pPr>
            <w:r/>
            <w:r>
              <w:rPr>
                <w:rFonts w:ascii="Arial" w:hAnsi="Arial"/>
                <w:b w:val="0"/>
                <w:sz w:val="19"/>
              </w:rPr>
              <w:t>30 min</w:t>
            </w:r>
          </w:p>
        </w:tc>
        <w:tc>
          <w:tcPr>
            <w:tcW w:type="dxa" w:w="2016"/>
          </w:tcPr>
          <w:p>
            <w:pPr>
              <w:keepNext/>
              <w:keepLines/>
            </w:pPr>
            <w:r/>
            <w:r>
              <w:rPr>
                <w:rFonts w:ascii="Arial" w:hAnsi="Arial"/>
                <w:b w:val="0"/>
                <w:sz w:val="19"/>
              </w:rPr>
              <w:t>LO3 · A2</w:t>
            </w:r>
          </w:p>
        </w:tc>
      </w:tr>
      <w:tr>
        <w:trPr>
          <w:cantSplit/>
        </w:trPr>
        <w:tc>
          <w:tcPr>
            <w:tcW w:type="dxa" w:w="504"/>
          </w:tcPr>
          <w:p>
            <w:pPr>
              <w:keepNext/>
              <w:keepLines/>
            </w:pPr>
            <w:r/>
            <w:r>
              <w:rPr>
                <w:rFonts w:ascii="Arial" w:hAnsi="Arial"/>
                <w:b/>
                <w:sz w:val="19"/>
              </w:rPr>
              <w:t>7</w:t>
            </w:r>
          </w:p>
        </w:tc>
        <w:tc>
          <w:tcPr>
            <w:tcW w:type="dxa" w:w="5256"/>
          </w:tcPr>
          <w:p>
            <w:pPr>
              <w:keepNext/>
              <w:keepLines/>
            </w:pPr>
            <w:r/>
            <w:r>
              <w:rPr>
                <w:rFonts w:ascii="Arial" w:hAnsi="Arial"/>
                <w:b w:val="0"/>
                <w:sz w:val="19"/>
              </w:rPr>
              <w:t>Leaky vs guarded chatbot — see and stop a PII leak</w:t>
            </w:r>
          </w:p>
        </w:tc>
        <w:tc>
          <w:tcPr>
            <w:tcW w:type="dxa" w:w="864"/>
          </w:tcPr>
          <w:p>
            <w:pPr>
              <w:keepNext/>
              <w:keepLines/>
            </w:pPr>
            <w:r/>
            <w:r>
              <w:rPr>
                <w:rFonts w:ascii="Arial" w:hAnsi="Arial"/>
                <w:b w:val="0"/>
                <w:sz w:val="19"/>
              </w:rPr>
              <w:t>3</w:t>
            </w:r>
          </w:p>
        </w:tc>
        <w:tc>
          <w:tcPr>
            <w:tcW w:type="dxa" w:w="1224"/>
          </w:tcPr>
          <w:p>
            <w:pPr>
              <w:keepNext/>
              <w:keepLines/>
            </w:pPr>
            <w:r/>
            <w:r>
              <w:rPr>
                <w:rFonts w:ascii="Arial" w:hAnsi="Arial"/>
                <w:b w:val="0"/>
                <w:sz w:val="19"/>
              </w:rPr>
              <w:t>30 min</w:t>
            </w:r>
          </w:p>
        </w:tc>
        <w:tc>
          <w:tcPr>
            <w:tcW w:type="dxa" w:w="2016"/>
          </w:tcPr>
          <w:p>
            <w:pPr>
              <w:keepNext/>
              <w:keepLines/>
            </w:pPr>
            <w:r/>
            <w:r>
              <w:rPr>
                <w:rFonts w:ascii="Arial" w:hAnsi="Arial"/>
                <w:b w:val="0"/>
                <w:sz w:val="19"/>
              </w:rPr>
              <w:t>LO3 · A1, A2</w:t>
            </w:r>
          </w:p>
        </w:tc>
      </w:tr>
      <w:tr>
        <w:trPr>
          <w:cantSplit/>
        </w:trPr>
        <w:tc>
          <w:tcPr>
            <w:tcW w:type="dxa" w:w="504"/>
          </w:tcPr>
          <w:p>
            <w:pPr>
              <w:keepNext w:val="0"/>
              <w:keepLines/>
            </w:pPr>
            <w:r/>
            <w:r>
              <w:rPr>
                <w:rFonts w:ascii="Arial" w:hAnsi="Arial"/>
                <w:b/>
                <w:sz w:val="19"/>
              </w:rPr>
              <w:t>8</w:t>
            </w:r>
          </w:p>
        </w:tc>
        <w:tc>
          <w:tcPr>
            <w:tcW w:type="dxa" w:w="5256"/>
          </w:tcPr>
          <w:p>
            <w:pPr>
              <w:keepNext w:val="0"/>
              <w:keepLines/>
            </w:pPr>
            <w:r/>
            <w:r>
              <w:rPr>
                <w:rFonts w:ascii="Arial" w:hAnsi="Arial"/>
                <w:b w:val="0"/>
                <w:sz w:val="19"/>
              </w:rPr>
              <w:t>Reflect on agent security and decide go / no-go</w:t>
            </w:r>
          </w:p>
        </w:tc>
        <w:tc>
          <w:tcPr>
            <w:tcW w:type="dxa" w:w="864"/>
          </w:tcPr>
          <w:p>
            <w:pPr>
              <w:keepNext w:val="0"/>
              <w:keepLines/>
            </w:pPr>
            <w:r/>
            <w:r>
              <w:rPr>
                <w:rFonts w:ascii="Arial" w:hAnsi="Arial"/>
                <w:b w:val="0"/>
                <w:sz w:val="19"/>
              </w:rPr>
              <w:t>3</w:t>
            </w:r>
          </w:p>
        </w:tc>
        <w:tc>
          <w:tcPr>
            <w:tcW w:type="dxa" w:w="1224"/>
          </w:tcPr>
          <w:p>
            <w:pPr>
              <w:keepNext w:val="0"/>
              <w:keepLines/>
            </w:pPr>
            <w:r/>
            <w:r>
              <w:rPr>
                <w:rFonts w:ascii="Arial" w:hAnsi="Arial"/>
                <w:b w:val="0"/>
                <w:sz w:val="19"/>
              </w:rPr>
              <w:t>15 min</w:t>
            </w:r>
          </w:p>
        </w:tc>
        <w:tc>
          <w:tcPr>
            <w:tcW w:type="dxa" w:w="2016"/>
          </w:tcPr>
          <w:p>
            <w:pPr>
              <w:keepNext w:val="0"/>
              <w:keepLines/>
            </w:pPr>
            <w:r/>
            <w:r>
              <w:rPr>
                <w:rFonts w:ascii="Arial" w:hAnsi="Arial"/>
                <w:b w:val="0"/>
                <w:sz w:val="19"/>
              </w:rPr>
              <w:t>LO3 · A1, A2</w:t>
            </w:r>
          </w:p>
        </w:tc>
      </w:tr>
    </w:tbl>
    <w:p>
      <w:pPr>
        <w:spacing w:after="120"/>
      </w:pPr>
      <w:r>
        <w:rPr>
          <w:rFonts w:ascii="Arial" w:hAnsi="Arial"/>
          <w:b w:val="0"/>
          <w:color w:val="555B66"/>
          <w:sz w:val="19"/>
        </w:rPr>
        <w:t>Times overlap with the topic teaching blocks in the schedule above; activity folders and the reflection Pinboard (alfredang.github.io/pinboard) are used throughout the day.</w:t>
      </w:r>
    </w:p>
    <w:p>
      <w:pPr>
        <w:pStyle w:val="Heading1"/>
      </w:pPr>
      <w:r>
        <w:t>4. Tools and Resources</w:t>
      </w:r>
    </w:p>
    <w:tbl>
      <w:tblPr>
        <w:tblStyle w:val="TableGrid"/>
        <w:tblW w:type="auto" w:w="0"/>
        <w:tblLook w:firstColumn="1" w:firstRow="1" w:lastColumn="0" w:lastRow="0" w:noHBand="0" w:noVBand="1" w:val="04A0"/>
      </w:tblPr>
      <w:tblGrid>
        <w:gridCol w:w="4320"/>
        <w:gridCol w:w="4320"/>
      </w:tblGrid>
      <w:tr>
        <w:trPr>
          <w:cantSplit/>
        </w:trPr>
        <w:tc>
          <w:tcPr>
            <w:tcW w:type="dxa" w:w="4176"/>
            <w:shd w:val="clear" w:color="auto" w:fill="1F6FEB"/>
          </w:tcPr>
          <w:p>
            <w:pPr>
              <w:keepNext/>
              <w:keepLines/>
            </w:pPr>
            <w:r/>
            <w:r>
              <w:rPr>
                <w:rFonts w:ascii="Arial" w:hAnsi="Arial"/>
                <w:b/>
                <w:color w:val="FFFFFF"/>
                <w:sz w:val="20"/>
              </w:rPr>
              <w:t>Resource</w:t>
            </w:r>
          </w:p>
        </w:tc>
        <w:tc>
          <w:tcPr>
            <w:tcW w:type="dxa" w:w="6120"/>
            <w:shd w:val="clear" w:color="auto" w:fill="1F6FEB"/>
          </w:tcPr>
          <w:p>
            <w:pPr>
              <w:keepNext/>
              <w:keepLines/>
            </w:pPr>
            <w:r/>
            <w:r>
              <w:rPr>
                <w:rFonts w:ascii="Arial" w:hAnsi="Arial"/>
                <w:b/>
                <w:color w:val="FFFFFF"/>
                <w:sz w:val="20"/>
              </w:rPr>
              <w:t>Purpose</w:t>
            </w:r>
          </w:p>
        </w:tc>
      </w:tr>
      <w:tr>
        <w:trPr>
          <w:cantSplit/>
        </w:trPr>
        <w:tc>
          <w:tcPr>
            <w:tcW w:type="dxa" w:w="4176"/>
          </w:tcPr>
          <w:p>
            <w:pPr>
              <w:keepNext/>
              <w:keepLines/>
            </w:pPr>
            <w:r/>
            <w:r>
              <w:rPr>
                <w:rFonts w:ascii="Arial" w:hAnsi="Arial"/>
                <w:b/>
                <w:sz w:val="19"/>
              </w:rPr>
              <w:t>Trainer slide deck (PPTX/PDF)</w:t>
            </w:r>
          </w:p>
        </w:tc>
        <w:tc>
          <w:tcPr>
            <w:tcW w:type="dxa" w:w="6120"/>
          </w:tcPr>
          <w:p>
            <w:pPr>
              <w:keepNext/>
              <w:keepLines/>
            </w:pPr>
            <w:r/>
            <w:r>
              <w:rPr>
                <w:rFonts w:ascii="Arial" w:hAnsi="Arial"/>
                <w:b w:val="0"/>
                <w:sz w:val="19"/>
              </w:rPr>
              <w:t>Facilitation, diagrams and concept walkthroughs</w:t>
            </w:r>
          </w:p>
        </w:tc>
      </w:tr>
      <w:tr>
        <w:trPr>
          <w:cantSplit/>
        </w:trPr>
        <w:tc>
          <w:tcPr>
            <w:tcW w:type="dxa" w:w="4176"/>
          </w:tcPr>
          <w:p>
            <w:pPr>
              <w:keepNext/>
              <w:keepLines/>
            </w:pPr>
            <w:r/>
            <w:r>
              <w:rPr>
                <w:rFonts w:ascii="Arial" w:hAnsi="Arial"/>
                <w:b/>
                <w:sz w:val="19"/>
              </w:rPr>
              <w:t>Learner Guide</w:t>
            </w:r>
          </w:p>
        </w:tc>
        <w:tc>
          <w:tcPr>
            <w:tcW w:type="dxa" w:w="6120"/>
          </w:tcPr>
          <w:p>
            <w:pPr>
              <w:keepNext/>
              <w:keepLines/>
            </w:pPr>
            <w:r/>
            <w:r>
              <w:rPr>
                <w:rFonts w:ascii="Arial" w:hAnsi="Arial"/>
                <w:b w:val="0"/>
                <w:sz w:val="19"/>
              </w:rPr>
              <w:t>Detailed notes and step-by-step activity walkthroughs</w:t>
            </w:r>
          </w:p>
        </w:tc>
      </w:tr>
      <w:tr>
        <w:trPr>
          <w:cantSplit/>
        </w:trPr>
        <w:tc>
          <w:tcPr>
            <w:tcW w:type="dxa" w:w="4176"/>
          </w:tcPr>
          <w:p>
            <w:pPr>
              <w:keepNext/>
              <w:keepLines/>
            </w:pPr>
            <w:r/>
            <w:r>
              <w:rPr>
                <w:rFonts w:ascii="Arial" w:hAnsi="Arial"/>
                <w:b/>
                <w:sz w:val="19"/>
              </w:rPr>
              <w:t>Activity packs (activities/)</w:t>
            </w:r>
          </w:p>
        </w:tc>
        <w:tc>
          <w:tcPr>
            <w:tcW w:type="dxa" w:w="6120"/>
          </w:tcPr>
          <w:p>
            <w:pPr>
              <w:keepNext/>
              <w:keepLines/>
            </w:pPr>
            <w:r/>
            <w:r>
              <w:rPr>
                <w:rFonts w:ascii="Arial" w:hAnsi="Arial"/>
                <w:b w:val="0"/>
                <w:sz w:val="19"/>
              </w:rPr>
              <w:t>Ready-made websites/chatbots, prompt cards and mock data</w:t>
            </w:r>
          </w:p>
        </w:tc>
      </w:tr>
      <w:tr>
        <w:trPr>
          <w:cantSplit/>
        </w:trPr>
        <w:tc>
          <w:tcPr>
            <w:tcW w:type="dxa" w:w="4176"/>
          </w:tcPr>
          <w:p>
            <w:pPr>
              <w:keepNext/>
              <w:keepLines/>
            </w:pPr>
            <w:r/>
            <w:r>
              <w:rPr>
                <w:rFonts w:ascii="Arial" w:hAnsi="Arial"/>
                <w:b/>
                <w:sz w:val="19"/>
              </w:rPr>
              <w:t>TIA Support on WhatsApp (+65 8866 6375)</w:t>
            </w:r>
          </w:p>
        </w:tc>
        <w:tc>
          <w:tcPr>
            <w:tcW w:type="dxa" w:w="6120"/>
          </w:tcPr>
          <w:p>
            <w:pPr>
              <w:keepNext/>
              <w:keepLines/>
            </w:pPr>
            <w:r/>
            <w:r>
              <w:rPr>
                <w:rFonts w:ascii="Arial" w:hAnsi="Arial"/>
                <w:b w:val="0"/>
                <w:sz w:val="19"/>
              </w:rPr>
              <w:t>Live OpenClaw-powered AI agent for Activity 1</w:t>
            </w:r>
          </w:p>
        </w:tc>
      </w:tr>
      <w:tr>
        <w:trPr>
          <w:cantSplit/>
        </w:trPr>
        <w:tc>
          <w:tcPr>
            <w:tcW w:type="dxa" w:w="4176"/>
          </w:tcPr>
          <w:p>
            <w:pPr>
              <w:keepNext/>
              <w:keepLines/>
            </w:pPr>
            <w:r/>
            <w:r>
              <w:rPr>
                <w:rFonts w:ascii="Arial" w:hAnsi="Arial"/>
                <w:b/>
                <w:sz w:val="19"/>
              </w:rPr>
              <w:t>Reflection Pinboard</w:t>
            </w:r>
          </w:p>
        </w:tc>
        <w:tc>
          <w:tcPr>
            <w:tcW w:type="dxa" w:w="6120"/>
          </w:tcPr>
          <w:p>
            <w:pPr>
              <w:keepNext/>
              <w:keepLines/>
            </w:pPr>
            <w:r/>
            <w:r>
              <w:rPr>
                <w:rFonts w:ascii="Arial" w:hAnsi="Arial"/>
                <w:b w:val="0"/>
                <w:sz w:val="19"/>
              </w:rPr>
              <w:t>alfredang.github.io/pinboard — group reflections by risk theme</w:t>
            </w:r>
          </w:p>
        </w:tc>
      </w:tr>
      <w:tr>
        <w:trPr>
          <w:cantSplit/>
        </w:trPr>
        <w:tc>
          <w:tcPr>
            <w:tcW w:type="dxa" w:w="4176"/>
          </w:tcPr>
          <w:p>
            <w:pPr>
              <w:keepNext/>
              <w:keepLines/>
            </w:pPr>
            <w:r/>
            <w:r>
              <w:rPr>
                <w:rFonts w:ascii="Arial" w:hAnsi="Arial"/>
                <w:b/>
                <w:sz w:val="19"/>
              </w:rPr>
              <w:t>Hermes Agent + MiniMax</w:t>
            </w:r>
          </w:p>
        </w:tc>
        <w:tc>
          <w:tcPr>
            <w:tcW w:type="dxa" w:w="6120"/>
          </w:tcPr>
          <w:p>
            <w:pPr>
              <w:keepNext/>
              <w:keepLines/>
            </w:pPr>
            <w:r/>
            <w:r>
              <w:rPr>
                <w:rFonts w:ascii="Arial" w:hAnsi="Arial"/>
                <w:b w:val="0"/>
                <w:sz w:val="19"/>
              </w:rPr>
              <w:t>hermes-agent.nousresearch.com and minimax.io for Topic 2</w:t>
            </w:r>
          </w:p>
        </w:tc>
      </w:tr>
      <w:tr>
        <w:trPr>
          <w:cantSplit/>
        </w:trPr>
        <w:tc>
          <w:tcPr>
            <w:tcW w:type="dxa" w:w="4176"/>
          </w:tcPr>
          <w:p>
            <w:pPr>
              <w:keepNext/>
              <w:keepLines/>
            </w:pPr>
            <w:r/>
            <w:r>
              <w:rPr>
                <w:rFonts w:ascii="Arial" w:hAnsi="Arial"/>
                <w:b/>
                <w:sz w:val="19"/>
              </w:rPr>
              <w:t>LMS/TMS portal</w:t>
            </w:r>
          </w:p>
        </w:tc>
        <w:tc>
          <w:tcPr>
            <w:tcW w:type="dxa" w:w="6120"/>
          </w:tcPr>
          <w:p>
            <w:pPr>
              <w:keepNext/>
              <w:keepLines/>
            </w:pPr>
            <w:r/>
            <w:r>
              <w:rPr>
                <w:rFonts w:ascii="Arial" w:hAnsi="Arial"/>
                <w:b w:val="0"/>
                <w:sz w:val="19"/>
              </w:rPr>
              <w:t>lms-tms.tertiaryinfotech.com — course material and submission</w:t>
            </w:r>
          </w:p>
        </w:tc>
      </w:tr>
      <w:tr>
        <w:trPr>
          <w:cantSplit/>
        </w:trPr>
        <w:tc>
          <w:tcPr>
            <w:tcW w:type="dxa" w:w="4176"/>
          </w:tcPr>
          <w:p>
            <w:pPr>
              <w:keepNext w:val="0"/>
              <w:keepLines/>
            </w:pPr>
            <w:r/>
            <w:r>
              <w:rPr>
                <w:rFonts w:ascii="Arial" w:hAnsi="Arial"/>
                <w:b/>
                <w:sz w:val="19"/>
              </w:rPr>
              <w:t>IMDA / PDPC / OWASP references</w:t>
            </w:r>
          </w:p>
        </w:tc>
        <w:tc>
          <w:tcPr>
            <w:tcW w:type="dxa" w:w="6120"/>
          </w:tcPr>
          <w:p>
            <w:pPr>
              <w:keepNext w:val="0"/>
              <w:keepLines/>
            </w:pPr>
            <w:r/>
            <w:r>
              <w:rPr>
                <w:rFonts w:ascii="Arial" w:hAnsi="Arial"/>
                <w:b w:val="0"/>
                <w:sz w:val="19"/>
              </w:rPr>
              <w:t>Governance and security reference material</w:t>
            </w:r>
          </w:p>
        </w:tc>
      </w:tr>
    </w:tbl>
    <w:p>
      <w:r>
        <w:br w:type="page"/>
      </w:r>
    </w:p>
    <w:p>
      <w:pPr>
        <w:pStyle w:val="Heading1"/>
      </w:pPr>
      <w:r>
        <w:t>5. Assessment</w:t>
      </w:r>
    </w:p>
    <w:p>
      <w:pPr>
        <w:spacing w:after="120"/>
      </w:pPr>
      <w:r>
        <w:rPr>
          <w:rFonts w:ascii="Arial" w:hAnsi="Arial"/>
          <w:b w:val="0"/>
          <w:color w:val="111827"/>
          <w:sz w:val="22"/>
        </w:rPr>
        <w:t>Assessment is conducted at the end of the day (6:00pm – 7:00pm). The briefing for assessment is delivered before the assessment begins.</w:t>
      </w:r>
    </w:p>
    <w:tbl>
      <w:tblPr>
        <w:tblStyle w:val="TableGrid"/>
        <w:tblW w:type="auto" w:w="0"/>
        <w:tblLook w:firstColumn="1" w:firstRow="1" w:lastColumn="0" w:lastRow="0" w:noHBand="0" w:noVBand="1" w:val="04A0"/>
      </w:tblPr>
      <w:tblGrid>
        <w:gridCol w:w="2880"/>
        <w:gridCol w:w="2880"/>
        <w:gridCol w:w="2880"/>
      </w:tblGrid>
      <w:tr>
        <w:trPr>
          <w:cantSplit/>
        </w:trPr>
        <w:tc>
          <w:tcPr>
            <w:tcW w:type="dxa" w:w="2520"/>
            <w:shd w:val="clear" w:color="auto" w:fill="1F6FEB"/>
          </w:tcPr>
          <w:p>
            <w:pPr>
              <w:keepNext/>
              <w:keepLines/>
            </w:pPr>
            <w:r/>
            <w:r>
              <w:rPr>
                <w:rFonts w:ascii="Arial" w:hAnsi="Arial"/>
                <w:b/>
                <w:color w:val="FFFFFF"/>
                <w:sz w:val="20"/>
              </w:rPr>
              <w:t>Instrument</w:t>
            </w:r>
          </w:p>
        </w:tc>
        <w:tc>
          <w:tcPr>
            <w:tcW w:type="dxa" w:w="2160"/>
            <w:shd w:val="clear" w:color="auto" w:fill="1F6FEB"/>
          </w:tcPr>
          <w:p>
            <w:pPr>
              <w:keepNext/>
              <w:keepLines/>
            </w:pPr>
            <w:r/>
            <w:r>
              <w:rPr>
                <w:rFonts w:ascii="Arial" w:hAnsi="Arial"/>
                <w:b/>
                <w:color w:val="FFFFFF"/>
                <w:sz w:val="20"/>
              </w:rPr>
              <w:t>Covers</w:t>
            </w:r>
          </w:p>
        </w:tc>
        <w:tc>
          <w:tcPr>
            <w:tcW w:type="dxa" w:w="5616"/>
            <w:shd w:val="clear" w:color="auto" w:fill="1F6FEB"/>
          </w:tcPr>
          <w:p>
            <w:pPr>
              <w:keepNext/>
              <w:keepLines/>
            </w:pPr>
            <w:r/>
            <w:r>
              <w:rPr>
                <w:rFonts w:ascii="Arial" w:hAnsi="Arial"/>
                <w:b/>
                <w:color w:val="FFFFFF"/>
                <w:sz w:val="20"/>
              </w:rPr>
              <w:t>Detail</w:t>
            </w:r>
          </w:p>
        </w:tc>
      </w:tr>
      <w:tr>
        <w:trPr>
          <w:cantSplit/>
        </w:trPr>
        <w:tc>
          <w:tcPr>
            <w:tcW w:type="dxa" w:w="2520"/>
          </w:tcPr>
          <w:p>
            <w:pPr>
              <w:keepNext/>
              <w:keepLines/>
            </w:pPr>
            <w:r/>
            <w:r>
              <w:rPr>
                <w:rFonts w:ascii="Arial" w:hAnsi="Arial"/>
                <w:b/>
                <w:sz w:val="19"/>
              </w:rPr>
              <w:t>Written Assessment (SAQ)</w:t>
            </w:r>
          </w:p>
        </w:tc>
        <w:tc>
          <w:tcPr>
            <w:tcW w:type="dxa" w:w="2160"/>
          </w:tcPr>
          <w:p>
            <w:pPr>
              <w:keepNext/>
              <w:keepLines/>
            </w:pPr>
            <w:r/>
            <w:r>
              <w:rPr>
                <w:rFonts w:ascii="Arial" w:hAnsi="Arial"/>
                <w:b w:val="0"/>
                <w:sz w:val="19"/>
              </w:rPr>
              <w:t>K1 – K5</w:t>
            </w:r>
          </w:p>
        </w:tc>
        <w:tc>
          <w:tcPr>
            <w:tcW w:type="dxa" w:w="5616"/>
          </w:tcPr>
          <w:p>
            <w:pPr>
              <w:keepNext/>
              <w:keepLines/>
            </w:pPr>
            <w:r/>
            <w:r>
              <w:rPr>
                <w:rFonts w:ascii="Arial" w:hAnsi="Arial"/>
                <w:b w:val="0"/>
                <w:sz w:val="19"/>
              </w:rPr>
              <w:t>Written Assessment (SAQ) — 5 short-answer questions, one per K statement (K1–K5)</w:t>
            </w:r>
          </w:p>
        </w:tc>
      </w:tr>
      <w:tr>
        <w:trPr>
          <w:cantSplit/>
        </w:trPr>
        <w:tc>
          <w:tcPr>
            <w:tcW w:type="dxa" w:w="2520"/>
          </w:tcPr>
          <w:p>
            <w:pPr>
              <w:keepNext/>
              <w:keepLines/>
            </w:pPr>
            <w:r/>
            <w:r>
              <w:rPr>
                <w:rFonts w:ascii="Arial" w:hAnsi="Arial"/>
                <w:b/>
                <w:sz w:val="19"/>
              </w:rPr>
              <w:t>Case Study</w:t>
            </w:r>
          </w:p>
        </w:tc>
        <w:tc>
          <w:tcPr>
            <w:tcW w:type="dxa" w:w="2160"/>
          </w:tcPr>
          <w:p>
            <w:pPr>
              <w:keepNext/>
              <w:keepLines/>
            </w:pPr>
            <w:r/>
            <w:r>
              <w:rPr>
                <w:rFonts w:ascii="Arial" w:hAnsi="Arial"/>
                <w:b w:val="0"/>
                <w:sz w:val="19"/>
              </w:rPr>
              <w:t>LO1 – LO3 (A1 – A5)</w:t>
            </w:r>
          </w:p>
        </w:tc>
        <w:tc>
          <w:tcPr>
            <w:tcW w:type="dxa" w:w="5616"/>
          </w:tcPr>
          <w:p>
            <w:pPr>
              <w:keepNext/>
              <w:keepLines/>
            </w:pPr>
            <w:r/>
            <w:r>
              <w:rPr>
                <w:rFonts w:ascii="Arial" w:hAnsi="Arial"/>
                <w:b w:val="0"/>
                <w:sz w:val="19"/>
              </w:rPr>
              <w:t>Case Study — 3 reflective tasks (two questions each) in which learners document their own observations from the in-class activities, mapped to LO1–LO3 and the A statements</w:t>
            </w:r>
          </w:p>
        </w:tc>
      </w:tr>
      <w:tr>
        <w:trPr>
          <w:cantSplit/>
        </w:trPr>
        <w:tc>
          <w:tcPr>
            <w:tcW w:type="dxa" w:w="2520"/>
          </w:tcPr>
          <w:p>
            <w:pPr>
              <w:keepNext/>
              <w:keepLines/>
            </w:pPr>
            <w:r/>
            <w:r>
              <w:rPr>
                <w:rFonts w:ascii="Arial" w:hAnsi="Arial"/>
                <w:b/>
                <w:sz w:val="19"/>
              </w:rPr>
              <w:t>Format</w:t>
            </w:r>
          </w:p>
        </w:tc>
        <w:tc>
          <w:tcPr>
            <w:tcW w:type="dxa" w:w="2160"/>
          </w:tcPr>
          <w:p>
            <w:pPr>
              <w:keepNext/>
              <w:keepLines/>
            </w:pPr>
            <w:r/>
            <w:r>
              <w:rPr>
                <w:rFonts w:ascii="Arial" w:hAnsi="Arial"/>
                <w:b w:val="0"/>
                <w:sz w:val="19"/>
              </w:rPr>
              <w:t>—</w:t>
            </w:r>
          </w:p>
        </w:tc>
        <w:tc>
          <w:tcPr>
            <w:tcW w:type="dxa" w:w="5616"/>
          </w:tcPr>
          <w:p>
            <w:pPr>
              <w:keepNext/>
              <w:keepLines/>
            </w:pPr>
            <w:r/>
            <w:r>
              <w:rPr>
                <w:rFonts w:ascii="Arial" w:hAnsi="Arial"/>
                <w:b w:val="0"/>
                <w:sz w:val="19"/>
              </w:rPr>
              <w:t>Open Book</w:t>
            </w:r>
          </w:p>
        </w:tc>
      </w:tr>
      <w:tr>
        <w:trPr>
          <w:cantSplit/>
        </w:trPr>
        <w:tc>
          <w:tcPr>
            <w:tcW w:type="dxa" w:w="2520"/>
          </w:tcPr>
          <w:p>
            <w:pPr>
              <w:keepNext/>
              <w:keepLines/>
            </w:pPr>
            <w:r/>
            <w:r>
              <w:rPr>
                <w:rFonts w:ascii="Arial" w:hAnsi="Arial"/>
                <w:b/>
                <w:sz w:val="19"/>
              </w:rPr>
              <w:t>Grading</w:t>
            </w:r>
          </w:p>
        </w:tc>
        <w:tc>
          <w:tcPr>
            <w:tcW w:type="dxa" w:w="2160"/>
          </w:tcPr>
          <w:p>
            <w:pPr>
              <w:keepNext/>
              <w:keepLines/>
            </w:pPr>
            <w:r/>
            <w:r>
              <w:rPr>
                <w:rFonts w:ascii="Arial" w:hAnsi="Arial"/>
                <w:b w:val="0"/>
                <w:sz w:val="19"/>
              </w:rPr>
              <w:t>—</w:t>
            </w:r>
          </w:p>
        </w:tc>
        <w:tc>
          <w:tcPr>
            <w:tcW w:type="dxa" w:w="5616"/>
          </w:tcPr>
          <w:p>
            <w:pPr>
              <w:keepNext/>
              <w:keepLines/>
            </w:pPr>
            <w:r/>
            <w:r>
              <w:rPr>
                <w:rFonts w:ascii="Arial" w:hAnsi="Arial"/>
                <w:b w:val="0"/>
                <w:sz w:val="19"/>
              </w:rPr>
              <w:t>Competent / Not Yet Competent</w:t>
            </w:r>
          </w:p>
        </w:tc>
      </w:tr>
      <w:tr>
        <w:trPr>
          <w:cantSplit/>
        </w:trPr>
        <w:tc>
          <w:tcPr>
            <w:tcW w:type="dxa" w:w="2520"/>
          </w:tcPr>
          <w:p>
            <w:pPr>
              <w:keepNext w:val="0"/>
              <w:keepLines/>
            </w:pPr>
            <w:r/>
            <w:r>
              <w:rPr>
                <w:rFonts w:ascii="Arial" w:hAnsi="Arial"/>
                <w:b/>
                <w:sz w:val="19"/>
              </w:rPr>
              <w:t>Re-assessment</w:t>
            </w:r>
          </w:p>
        </w:tc>
        <w:tc>
          <w:tcPr>
            <w:tcW w:type="dxa" w:w="2160"/>
          </w:tcPr>
          <w:p>
            <w:pPr>
              <w:keepNext w:val="0"/>
              <w:keepLines/>
            </w:pPr>
            <w:r/>
            <w:r>
              <w:rPr>
                <w:rFonts w:ascii="Arial" w:hAnsi="Arial"/>
                <w:b w:val="0"/>
                <w:sz w:val="19"/>
              </w:rPr>
              <w:t>—</w:t>
            </w:r>
          </w:p>
        </w:tc>
        <w:tc>
          <w:tcPr>
            <w:tcW w:type="dxa" w:w="5616"/>
          </w:tcPr>
          <w:p>
            <w:pPr>
              <w:keepNext w:val="0"/>
              <w:keepLines/>
            </w:pPr>
            <w:r/>
            <w:r>
              <w:rPr>
                <w:rFonts w:ascii="Arial" w:hAnsi="Arial"/>
                <w:b w:val="0"/>
                <w:sz w:val="19"/>
              </w:rPr>
              <w:t>Available for learners assessed Not Yet Competent</w:t>
            </w:r>
          </w:p>
        </w:tc>
      </w:tr>
    </w:tbl>
    <w:p>
      <w:pPr>
        <w:spacing w:after="120"/>
      </w:pPr>
      <w:r>
        <w:rPr>
          <w:rFonts w:ascii="Arial" w:hAnsi="Arial"/>
          <w:b w:val="0"/>
          <w:color w:val="111827"/>
          <w:sz w:val="22"/>
        </w:rPr>
      </w:r>
    </w:p>
    <w:p>
      <w:pPr>
        <w:spacing w:after="120"/>
      </w:pPr>
      <w:r>
        <w:rPr>
          <w:rFonts w:ascii="Arial" w:hAnsi="Arial"/>
          <w:b w:val="0"/>
          <w:color w:val="111827"/>
          <w:sz w:val="20"/>
        </w:rPr>
        <w:t>The Case Study asks learners to document their own observations and reflections from the activities they completed during the day, so it is grounded in what each learner actually did in class and aligned to the slides and labs.</w:t>
      </w:r>
    </w:p>
    <w:p>
      <w:pPr>
        <w:spacing w:after="120"/>
      </w:pPr>
      <w:r>
        <w:rPr>
          <w:rFonts w:ascii="Arial" w:hAnsi="Arial"/>
          <w:b w:val="0"/>
          <w:color w:val="111827"/>
          <w:sz w:val="20"/>
        </w:rPr>
        <w:t>Funding eligibility requires a minimum 75% attendance recorded through SSG digital attendance, an assessment outcome of Competent, and completion of the TRAQOM survey.</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This material belongs to Tertiary Infotech Pte Ltd (UEN: 201200696W).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