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4.0</w:t>
      </w:r>
    </w:p>
    <w:p>
      <w:r>
        <w:br w:type="page"/>
      </w:r>
    </w:p>
    <w:p>
      <w:pPr>
        <w:pStyle w:val="Heading1"/>
      </w:pPr>
      <w:r>
        <w:t>Document Version Control Record</w:t>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 — Core Principles and Ethical Challenges in Generative AI.</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generative-AI and autonomous-agent security; five activities and detailed walkthroughs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practice, PDPA guidance, guardrails, human approval, skill/plugin controls and visual teaching aids.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Aligned to the evidence-grounded 207-slide deck; added product boundaries, documented cases, control gates, detailed activities and source register. Unverified claims removed.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(8-hour) course: generative and agentic AI concepts, prompt engineering on the Hermes agent with MiniMax, and AI-agent governance and security. Eight no-code activities on ready-made websites and chatbots; prompt library, reflection framework, governance and roll-out cheat sheets added. TSC K/A text unchanged.</w:t>
            </w:r>
          </w:p>
        </w:tc>
        <w:tc>
          <w:tcPr>
            <w:tcW w:type="dxa" w:w="2160"/>
          </w:tcPr>
          <w:p>
            <w:r/>
            <w:r>
              <w:rPr>
                <w:sz w:val="19"/>
              </w:rPr>
              <w:t>Dr Alfred Ang</w:t>
            </w:r>
          </w:p>
        </w:tc>
      </w:tr>
    </w:tbl>
    <w:p>
      <w:r>
        <w:br w:type="page"/>
      </w:r>
    </w:p>
    <w:p>
      <w:pPr>
        <w:pStyle w:val="Heading1"/>
      </w:pPr>
      <w:r>
        <w:t>Table of Contents</w:t>
      </w:r>
    </w:p>
    <w:p>
      <w:pPr>
        <w:spacing w:after="160"/>
      </w:pPr>
      <w:r>
        <w:rPr>
          <w:rFonts w:ascii="Arial" w:hAnsi="Arial"/>
          <w:b w:val="0"/>
          <w:i w:val="0"/>
          <w:color w:val="555B66"/>
          <w:sz w:val="19"/>
        </w:rPr>
        <w:t>Right-click and choose 'Update Field' to refresh page numbers.</w:t>
      </w:r>
    </w:p>
    <w:p>
      <w:pPr>
        <w:spacing w:after="120"/>
      </w:pPr>
      <w:r>
        <w:rPr>
          <w:b/>
          <w:color w:val="111827"/>
          <w:sz w:val="24"/>
        </w:rPr>
        <w:t>TABLE OF CONTENTS</w:t>
      </w:r>
    </w:p>
    <w:p>
      <w:r>
        <w:fldChar w:fldCharType="begin"/>
        <w:instrText xml:space="preserve">TOC \o "1-3" \h \z \u</w:instrText>
        <w:fldChar w:fldCharType="separate"/>
        <w:t>Right-click and choose “Update Field”, or press F9, to build the table of contents.</w:t>
        <w:fldChar w:fldCharType="end"/>
      </w:r>
    </w:p>
    <w:p>
      <w:r>
        <w:br w:type="page"/>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The points below unpack what “2024 — Context Engineering” means in practice.</w:t>
      </w:r>
    </w:p>
    <w:p>
      <w:pPr>
        <w:pStyle w:val="ListBullet"/>
        <w:keepNext/>
        <w:keepLines/>
        <w:spacing w:after="100"/>
      </w:pPr>
      <w:r>
        <w:rPr>
          <w:rFonts w:ascii="Arial" w:hAnsi="Arial"/>
          <w:color w:val="111827"/>
          <w:sz w:val="21"/>
        </w:rPr>
        <w:t>Teams found the prompt alone was not enough — the model needed the right supporting information</w:t>
      </w:r>
    </w:p>
    <w:p>
      <w:pPr>
        <w:pStyle w:val="ListBullet"/>
        <w:keepNext/>
        <w:keepLines/>
        <w:spacing w:after="100"/>
      </w:pPr>
      <w:r>
        <w:rPr>
          <w:rFonts w:ascii="Arial" w:hAnsi="Arial"/>
          <w:color w:val="111827"/>
          <w:sz w:val="21"/>
        </w:rPr>
        <w:t>Andrej Karpathy argued for 'context engineering' over 'prompt engineering' (Jun 2025)</w:t>
      </w:r>
    </w:p>
    <w:p>
      <w:pPr>
        <w:pStyle w:val="ListBullet"/>
        <w:keepNext w:val="0"/>
        <w:keepLines/>
        <w:spacing w:after="100"/>
      </w:pPr>
      <w:r>
        <w:rPr>
          <w:rFonts w:ascii="Arial" w:hAnsi="Arial"/>
          <w:color w:val="111827"/>
          <w:sz w:val="21"/>
        </w:rPr>
        <w:t>The craft became: fill the context window with just the right tokens for the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The points below unpack what “2025 — Harness Engineering and Agentic AI” means in practice.</w:t>
      </w:r>
    </w:p>
    <w:p>
      <w:pPr>
        <w:pStyle w:val="ListBullet"/>
        <w:keepNext/>
        <w:keepLines/>
        <w:spacing w:after="100"/>
      </w:pPr>
      <w:r>
        <w:rPr>
          <w:rFonts w:ascii="Arial" w:hAnsi="Arial"/>
          <w:color w:val="111827"/>
          <w:sz w:val="21"/>
        </w:rPr>
        <w:t>Tools like Claude Code and Codex wrapped the model in a loop that gathers context, acts and verifies</w:t>
      </w:r>
    </w:p>
    <w:p>
      <w:pPr>
        <w:pStyle w:val="ListBullet"/>
        <w:keepNext/>
        <w:keepLines/>
        <w:spacing w:after="100"/>
      </w:pPr>
      <w:r>
        <w:rPr>
          <w:rFonts w:ascii="Arial" w:hAnsi="Arial"/>
          <w:color w:val="111827"/>
          <w:sz w:val="21"/>
        </w:rPr>
        <w:t>OpenAI named this discipline 'harness engineering'; Anthropic calls the tool an 'agentic harness'</w:t>
      </w:r>
    </w:p>
    <w:p>
      <w:pPr>
        <w:pStyle w:val="ListBullet"/>
        <w:keepNext w:val="0"/>
        <w:keepLines/>
        <w:spacing w:after="100"/>
      </w:pPr>
      <w:r>
        <w:rPr>
          <w:rFonts w:ascii="Arial" w:hAnsi="Arial"/>
          <w:color w:val="111827"/>
          <w:sz w:val="21"/>
        </w:rPr>
        <w:t>The model stopped only answering and started doing multi-step work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CNN — H&amp;M to create AI 'digital twins' of models (Mar 2025), S22 — CNN — AI models in Guess ad in Vogue's August 2025 issue</w:t>
            </w:r>
          </w:p>
        </w:tc>
      </w:tr>
    </w:tbl>
    <w:p>
      <w:pPr>
        <w:spacing w:after="80"/>
      </w:pPr>
    </w:p>
    <w:p>
      <w:pPr>
        <w:spacing w:after="160"/>
      </w:pPr>
      <w:r>
        <w:rPr>
          <w:rFonts w:ascii="Arial" w:hAnsi="Arial"/>
          <w:b w:val="0"/>
          <w:i w:val="0"/>
          <w:color w:val="111827"/>
          <w:sz w:val="22"/>
        </w:rPr>
        <w:t>Read the points below as the few things worth remembering about “Fashion Models Are Now Generated”.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Mango, Jul 2024</w:t>
            </w:r>
          </w:p>
        </w:tc>
        <w:tc>
          <w:tcPr>
            <w:tcW w:type="dxa" w:w="4320"/>
            <w:shd w:val="clear" w:color="auto" w:fill="F5F8FC"/>
          </w:tcPr>
          <w:p>
            <w:pPr>
              <w:keepNext/>
              <w:keepLines/>
              <w:spacing w:after="0"/>
            </w:pPr>
            <w:r/>
            <w:r>
              <w:rPr>
                <w:rFonts w:ascii="Arial" w:hAnsi="Arial"/>
                <w:b w:val="0"/>
                <w:color w:val="111827"/>
                <w:sz w:val="18"/>
              </w:rPr>
              <w:t>Ran its first fully AI-generated campaign for its teen 'Sunset Dream' line across 95 markets</w:t>
            </w:r>
          </w:p>
        </w:tc>
      </w:tr>
      <w:tr>
        <w:trPr>
          <w:cantSplit/>
        </w:trPr>
        <w:tc>
          <w:tcPr>
            <w:tcW w:type="dxa" w:w="4320"/>
          </w:tcPr>
          <w:p>
            <w:pPr>
              <w:keepNext/>
              <w:keepLines/>
              <w:spacing w:after="0"/>
            </w:pPr>
            <w:r/>
            <w:r>
              <w:rPr>
                <w:rFonts w:ascii="Arial" w:hAnsi="Arial"/>
                <w:b/>
                <w:color w:val="111827"/>
                <w:sz w:val="18"/>
              </w:rPr>
              <w:t>H&amp;M, 2025</w:t>
            </w:r>
          </w:p>
        </w:tc>
        <w:tc>
          <w:tcPr>
            <w:tcW w:type="dxa" w:w="4320"/>
          </w:tcPr>
          <w:p>
            <w:pPr>
              <w:keepNext/>
              <w:keepLines/>
              <w:spacing w:after="0"/>
            </w:pPr>
            <w:r/>
            <w:r>
              <w:rPr>
                <w:rFonts w:ascii="Arial" w:hAnsi="Arial"/>
                <w:b w:val="0"/>
                <w:color w:val="111827"/>
                <w:sz w:val="18"/>
              </w:rPr>
              <w:t>Announced AI 'digital twins' of 30 real models; first labelled images appeared mid-2025</w:t>
            </w:r>
          </w:p>
        </w:tc>
      </w:tr>
      <w:tr>
        <w:trPr>
          <w:cantSplit/>
        </w:trPr>
        <w:tc>
          <w:tcPr>
            <w:tcW w:type="dxa" w:w="4320"/>
            <w:shd w:val="clear" w:color="auto" w:fill="F5F8FC"/>
          </w:tcPr>
          <w:p>
            <w:pPr>
              <w:keepNext w:val="0"/>
              <w:keepLines/>
              <w:spacing w:after="0"/>
            </w:pPr>
            <w:r/>
            <w:r>
              <w:rPr>
                <w:rFonts w:ascii="Arial" w:hAnsi="Arial"/>
                <w:b/>
                <w:color w:val="111827"/>
                <w:sz w:val="18"/>
              </w:rPr>
              <w:t>Guess, Aug 2025</w:t>
            </w:r>
          </w:p>
        </w:tc>
        <w:tc>
          <w:tcPr>
            <w:tcW w:type="dxa" w:w="4320"/>
            <w:shd w:val="clear" w:color="auto" w:fill="F5F8FC"/>
          </w:tcPr>
          <w:p>
            <w:pPr>
              <w:keepNext w:val="0"/>
              <w:keepLines/>
              <w:spacing w:after="0"/>
            </w:pPr>
            <w:r/>
            <w:r>
              <w:rPr>
                <w:rFonts w:ascii="Arial" w:hAnsi="Arial"/>
                <w:b w:val="0"/>
                <w:color w:val="111827"/>
                <w:sz w:val="18"/>
              </w:rPr>
              <w:t>A Guess ad using AI-generated models ran in Vogue's August issue and drew wide debate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Short Vertical Video Is Being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S23 — OpenAI — Sora 2 is here (30 Sep 2025), S24 — Forbes — Coca-Cola AI-generated Christmas ad, again (Nov 2025)</w:t>
            </w:r>
          </w:p>
        </w:tc>
      </w:tr>
    </w:tbl>
    <w:p>
      <w:pPr>
        <w:spacing w:after="80"/>
      </w:pPr>
    </w:p>
    <w:p>
      <w:pPr>
        <w:spacing w:after="160"/>
      </w:pPr>
      <w:r>
        <w:rPr>
          <w:rFonts w:ascii="Arial" w:hAnsi="Arial"/>
          <w:b w:val="0"/>
          <w:i w:val="0"/>
          <w:color w:val="111827"/>
          <w:sz w:val="22"/>
        </w:rPr>
        <w:t>Read the points below as the few things worth remembering about “Short Vertical Video Is Being Generated”.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OpenAI Sora 2</w:t>
            </w:r>
          </w:p>
        </w:tc>
        <w:tc>
          <w:tcPr>
            <w:tcW w:type="dxa" w:w="4320"/>
            <w:shd w:val="clear" w:color="auto" w:fill="F5F8FC"/>
          </w:tcPr>
          <w:p>
            <w:pPr>
              <w:keepNext/>
              <w:keepLines/>
              <w:spacing w:after="0"/>
            </w:pPr>
            <w:r/>
            <w:r>
              <w:rPr>
                <w:rFonts w:ascii="Arial" w:hAnsi="Arial"/>
                <w:b w:val="0"/>
                <w:color w:val="111827"/>
                <w:sz w:val="18"/>
              </w:rPr>
              <w:t>Launched 30 Sep 2025 with a TikTok-style app of AI clips; No.1 on the US App Store within days</w:t>
            </w:r>
          </w:p>
        </w:tc>
      </w:tr>
      <w:tr>
        <w:trPr>
          <w:cantSplit/>
        </w:trPr>
        <w:tc>
          <w:tcPr>
            <w:tcW w:type="dxa" w:w="4320"/>
          </w:tcPr>
          <w:p>
            <w:pPr>
              <w:keepNext/>
              <w:keepLines/>
              <w:spacing w:after="0"/>
            </w:pPr>
            <w:r/>
            <w:r>
              <w:rPr>
                <w:rFonts w:ascii="Arial" w:hAnsi="Arial"/>
                <w:b/>
                <w:color w:val="111827"/>
                <w:sz w:val="18"/>
              </w:rPr>
              <w:t>Coca-Cola</w:t>
            </w:r>
          </w:p>
        </w:tc>
        <w:tc>
          <w:tcPr>
            <w:tcW w:type="dxa" w:w="4320"/>
          </w:tcPr>
          <w:p>
            <w:pPr>
              <w:keepNext/>
              <w:keepLines/>
              <w:spacing w:after="0"/>
            </w:pPr>
            <w:r/>
            <w:r>
              <w:rPr>
                <w:rFonts w:ascii="Arial" w:hAnsi="Arial"/>
                <w:b w:val="0"/>
                <w:color w:val="111827"/>
                <w:sz w:val="18"/>
              </w:rPr>
              <w:t>Aired an AI-generated 'Holidays Are Coming' ad in 2024 and again in 2025</w:t>
            </w:r>
          </w:p>
        </w:tc>
      </w:tr>
      <w:tr>
        <w:trPr>
          <w:cantSplit/>
        </w:trPr>
        <w:tc>
          <w:tcPr>
            <w:tcW w:type="dxa" w:w="4320"/>
            <w:shd w:val="clear" w:color="auto" w:fill="F5F8FC"/>
          </w:tcPr>
          <w:p>
            <w:pPr>
              <w:keepNext w:val="0"/>
              <w:keepLines/>
              <w:spacing w:after="0"/>
            </w:pPr>
            <w:r/>
            <w:r>
              <w:rPr>
                <w:rFonts w:ascii="Arial" w:hAnsi="Arial"/>
                <w:b/>
                <w:color w:val="111827"/>
                <w:sz w:val="18"/>
              </w:rPr>
              <w:t>Takeaway</w:t>
            </w:r>
          </w:p>
        </w:tc>
        <w:tc>
          <w:tcPr>
            <w:tcW w:type="dxa" w:w="4320"/>
            <w:shd w:val="clear" w:color="auto" w:fill="F5F8FC"/>
          </w:tcPr>
          <w:p>
            <w:pPr>
              <w:keepNext w:val="0"/>
              <w:keepLines/>
              <w:spacing w:after="0"/>
            </w:pPr>
            <w:r/>
            <w:r>
              <w:rPr>
                <w:rFonts w:ascii="Arial" w:hAnsi="Arial"/>
                <w:b w:val="0"/>
                <w:color w:val="111827"/>
                <w:sz w:val="18"/>
              </w:rPr>
              <w:t>Marketing teams can now generate campaign video without a film crew</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Forbes — Klarna reverses on AI, re-hires human agents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32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33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34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37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38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39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and Hermes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42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Peter Steinberger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w:t>
            </w:r>
          </w:p>
        </w:tc>
      </w:tr>
    </w:tbl>
    <w:p>
      <w:pPr>
        <w:spacing w:after="80"/>
      </w:pPr>
    </w:p>
    <w:p>
      <w:pPr>
        <w:spacing w:after="160"/>
      </w:pPr>
      <w:r>
        <w:rPr>
          <w:rFonts w:ascii="Arial" w:hAnsi="Arial"/>
          <w:b w:val="0"/>
          <w:i w:val="0"/>
          <w:color w:val="111827"/>
          <w:sz w:val="22"/>
        </w:rPr>
        <w:t>“Peter Steinberger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45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46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Read the points below as the few things worth remembering about “Hermes Agent by Nous Research”.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Open-source agent</w:t>
            </w:r>
          </w:p>
        </w:tc>
        <w:tc>
          <w:tcPr>
            <w:tcW w:type="dxa" w:w="4320"/>
            <w:shd w:val="clear" w:color="auto" w:fill="F5F8FC"/>
          </w:tcPr>
          <w:p>
            <w:pPr>
              <w:keepNext/>
              <w:keepLines/>
              <w:spacing w:after="0"/>
            </w:pPr>
            <w:r/>
            <w:r>
              <w:rPr>
                <w:rFonts w:ascii="Arial" w:hAnsi="Arial"/>
                <w:b w:val="0"/>
                <w:color w:val="111827"/>
                <w:sz w:val="18"/>
              </w:rPr>
              <w:t>CLI, gateway and messaging surfaces; a desktop app since Jun 2026</w:t>
            </w:r>
          </w:p>
        </w:tc>
      </w:tr>
      <w:tr>
        <w:trPr>
          <w:cantSplit/>
        </w:trPr>
        <w:tc>
          <w:tcPr>
            <w:tcW w:type="dxa" w:w="4320"/>
          </w:tcPr>
          <w:p>
            <w:pPr>
              <w:keepNext/>
              <w:keepLines/>
              <w:spacing w:after="0"/>
            </w:pPr>
            <w:r/>
            <w:r>
              <w:rPr>
                <w:rFonts w:ascii="Arial" w:hAnsi="Arial"/>
                <w:b/>
                <w:color w:val="111827"/>
                <w:sz w:val="18"/>
              </w:rPr>
              <w:t>Self-improving</w:t>
            </w:r>
          </w:p>
        </w:tc>
        <w:tc>
          <w:tcPr>
            <w:tcW w:type="dxa" w:w="4320"/>
          </w:tcPr>
          <w:p>
            <w:pPr>
              <w:keepNext/>
              <w:keepLines/>
              <w:spacing w:after="0"/>
            </w:pPr>
            <w:r/>
            <w:r>
              <w:rPr>
                <w:rFonts w:ascii="Arial" w:hAnsi="Arial"/>
                <w:b w:val="0"/>
                <w:color w:val="111827"/>
                <w:sz w:val="18"/>
              </w:rPr>
              <w:t>Can create reusable skills from experience</w:t>
            </w:r>
          </w:p>
        </w:tc>
      </w:tr>
      <w:tr>
        <w:trPr>
          <w:cantSplit/>
        </w:trPr>
        <w:tc>
          <w:tcPr>
            <w:tcW w:type="dxa" w:w="4320"/>
            <w:shd w:val="clear" w:color="auto" w:fill="F5F8FC"/>
          </w:tcPr>
          <w:p>
            <w:pPr>
              <w:keepNext w:val="0"/>
              <w:keepLines/>
              <w:spacing w:after="0"/>
            </w:pPr>
            <w:r/>
            <w:r>
              <w:rPr>
                <w:rFonts w:ascii="Arial" w:hAnsi="Arial"/>
                <w:b/>
                <w:color w:val="111827"/>
                <w:sz w:val="18"/>
              </w:rPr>
              <w:t>Flexible models</w:t>
            </w:r>
          </w:p>
        </w:tc>
        <w:tc>
          <w:tcPr>
            <w:tcW w:type="dxa" w:w="4320"/>
            <w:shd w:val="clear" w:color="auto" w:fill="F5F8FC"/>
          </w:tcPr>
          <w:p>
            <w:pPr>
              <w:keepNext w:val="0"/>
              <w:keepLines/>
              <w:spacing w:after="0"/>
            </w:pPr>
            <w:r/>
            <w:r>
              <w:rPr>
                <w:rFonts w:ascii="Arial" w:hAnsi="Arial"/>
                <w:b w:val="0"/>
                <w:color w:val="111827"/>
                <w:sz w:val="18"/>
              </w:rPr>
              <w:t>Runs on many providers — we will point it at MiniMax in Topic 2</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49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54 — Orchestrator and Workers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“Orchestrator and Workers” is best understood as a sequence — the steps below run in order. Each step feeds the next, so a problem early on shows up later in the chain — which is exactly why the order is worth learning. Anthropic's research system used this pattern; it beat a single agent by ~90% on their internal research eval.</w:t>
      </w:r>
    </w:p>
    <w:p>
      <w:pPr>
        <w:keepNext/>
        <w:keepLines/>
        <w:spacing w:after="100"/>
        <w:ind w:left="576" w:hanging="576"/>
      </w:pPr>
      <w:r>
        <w:rPr>
          <w:rFonts w:ascii="Arial" w:hAnsi="Arial"/>
          <w:b/>
          <w:color w:val="1F6FEB"/>
          <w:sz w:val="21"/>
        </w:rPr>
        <w:t xml:space="preserve">1.  </w:t>
      </w:r>
      <w:r>
        <w:rPr>
          <w:rFonts w:ascii="Arial" w:hAnsi="Arial"/>
          <w:color w:val="111827"/>
          <w:sz w:val="21"/>
        </w:rPr>
        <w:t>A lead agent receives the goal</w:t>
      </w:r>
    </w:p>
    <w:p>
      <w:pPr>
        <w:keepNext/>
        <w:keepLines/>
        <w:spacing w:after="100"/>
        <w:ind w:left="576" w:hanging="576"/>
      </w:pPr>
      <w:r>
        <w:rPr>
          <w:rFonts w:ascii="Arial" w:hAnsi="Arial"/>
          <w:b/>
          <w:color w:val="1F6FEB"/>
          <w:sz w:val="21"/>
        </w:rPr>
        <w:t xml:space="preserve">2.  </w:t>
      </w:r>
      <w:r>
        <w:rPr>
          <w:rFonts w:ascii="Arial" w:hAnsi="Arial"/>
          <w:color w:val="111827"/>
          <w:sz w:val="21"/>
        </w:rPr>
        <w:t>It splits the work into parts</w:t>
      </w:r>
    </w:p>
    <w:p>
      <w:pPr>
        <w:keepNext/>
        <w:keepLines/>
        <w:spacing w:after="100"/>
        <w:ind w:left="576" w:hanging="576"/>
      </w:pPr>
      <w:r>
        <w:rPr>
          <w:rFonts w:ascii="Arial" w:hAnsi="Arial"/>
          <w:b/>
          <w:color w:val="1F6FEB"/>
          <w:sz w:val="21"/>
        </w:rPr>
        <w:t xml:space="preserve">3.  </w:t>
      </w:r>
      <w:r>
        <w:rPr>
          <w:rFonts w:ascii="Arial" w:hAnsi="Arial"/>
          <w:color w:val="111827"/>
          <w:sz w:val="21"/>
        </w:rPr>
        <w:t>Worker agents run parts in parallel</w:t>
      </w:r>
    </w:p>
    <w:p>
      <w:pPr>
        <w:keepNext w:val="0"/>
        <w:keepLines/>
        <w:spacing w:after="100"/>
        <w:ind w:left="576" w:hanging="576"/>
      </w:pPr>
      <w:r>
        <w:rPr>
          <w:rFonts w:ascii="Arial" w:hAnsi="Arial"/>
          <w:b/>
          <w:color w:val="1F6FEB"/>
          <w:sz w:val="21"/>
        </w:rPr>
        <w:t xml:space="preserve">4.  </w:t>
      </w:r>
      <w:r>
        <w:rPr>
          <w:rFonts w:ascii="Arial" w:hAnsi="Arial"/>
          <w:color w:val="111827"/>
          <w:sz w:val="21"/>
        </w:rPr>
        <w:t>The lead combines their results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Anthropic's research system used this pattern; it beat a single agent by ~90% on their internal research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A Service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Service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Goal</w:t>
            </w:r>
          </w:p>
        </w:tc>
        <w:tc>
          <w:tcPr>
            <w:tcW w:type="dxa" w:w="4320"/>
            <w:shd w:val="clear" w:color="auto" w:fill="F5F8FC"/>
          </w:tcPr>
          <w:p>
            <w:pPr>
              <w:keepNext/>
              <w:keepLines/>
              <w:spacing w:after="0"/>
            </w:pPr>
            <w:r/>
            <w:r>
              <w:rPr>
                <w:rFonts w:ascii="Arial" w:hAnsi="Arial"/>
                <w:b w:val="0"/>
                <w:color w:val="111827"/>
                <w:sz w:val="18"/>
              </w:rPr>
              <w:t>'Plan a customer-recovery campaign'</w:t>
            </w:r>
          </w:p>
        </w:tc>
      </w:tr>
      <w:tr>
        <w:trPr>
          <w:cantSplit/>
        </w:trPr>
        <w:tc>
          <w:tcPr>
            <w:tcW w:type="dxa" w:w="4320"/>
          </w:tcPr>
          <w:p>
            <w:pPr>
              <w:keepNext/>
              <w:keepLines/>
              <w:spacing w:after="0"/>
            </w:pPr>
            <w:r/>
            <w:r>
              <w:rPr>
                <w:rFonts w:ascii="Arial" w:hAnsi="Arial"/>
                <w:b/>
                <w:color w:val="111827"/>
                <w:sz w:val="18"/>
              </w:rPr>
              <w:t>Workers</w:t>
            </w:r>
          </w:p>
        </w:tc>
        <w:tc>
          <w:tcPr>
            <w:tcW w:type="dxa" w:w="4320"/>
          </w:tcPr>
          <w:p>
            <w:pPr>
              <w:keepNext/>
              <w:keepLines/>
              <w:spacing w:after="0"/>
            </w:pPr>
            <w:r/>
            <w:r>
              <w:rPr>
                <w:rFonts w:ascii="Arial" w:hAnsi="Arial"/>
                <w:b w:val="0"/>
                <w:color w:val="111827"/>
                <w:sz w:val="18"/>
              </w:rPr>
              <w:t>One drafts copy, one builds the offer, one checks the data</w:t>
            </w:r>
          </w:p>
        </w:tc>
      </w:tr>
      <w:tr>
        <w:trPr>
          <w:cantSplit/>
        </w:trPr>
        <w:tc>
          <w:tcPr>
            <w:tcW w:type="dxa" w:w="4320"/>
            <w:shd w:val="clear" w:color="auto" w:fill="F5F8FC"/>
          </w:tcPr>
          <w:p>
            <w:pPr>
              <w:keepNext w:val="0"/>
              <w:keepLines/>
              <w:spacing w:after="0"/>
            </w:pPr>
            <w:r/>
            <w:r>
              <w:rPr>
                <w:rFonts w:ascii="Arial" w:hAnsi="Arial"/>
                <w:b/>
                <w:color w:val="111827"/>
                <w:sz w:val="18"/>
              </w:rPr>
              <w:t>Lead</w:t>
            </w:r>
          </w:p>
        </w:tc>
        <w:tc>
          <w:tcPr>
            <w:tcW w:type="dxa" w:w="4320"/>
            <w:shd w:val="clear" w:color="auto" w:fill="F5F8FC"/>
          </w:tcPr>
          <w:p>
            <w:pPr>
              <w:keepNext w:val="0"/>
              <w:keepLines/>
              <w:spacing w:after="0"/>
            </w:pPr>
            <w:r/>
            <w:r>
              <w:rPr>
                <w:rFonts w:ascii="Arial" w:hAnsi="Arial"/>
                <w:b w:val="0"/>
                <w:color w:val="111827"/>
                <w:sz w:val="18"/>
              </w:rPr>
              <w:t>Merges the three into one plan for a human to approve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58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59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60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61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62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63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65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66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67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69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70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72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“Five Principles of a Good Prompt”.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Tell the AI who to be</w:t>
            </w:r>
          </w:p>
        </w:tc>
      </w:tr>
      <w:tr>
        <w:trPr>
          <w:cantSplit/>
        </w:trPr>
        <w:tc>
          <w:tcPr>
            <w:tcW w:type="dxa" w:w="4320"/>
          </w:tcPr>
          <w:p>
            <w:pPr>
              <w:keepNext/>
              <w:keepLines/>
              <w:spacing w:after="0"/>
            </w:pPr>
            <w:r/>
            <w:r>
              <w:rPr>
                <w:rFonts w:ascii="Arial" w:hAnsi="Arial"/>
                <w:b/>
                <w:color w:val="111827"/>
                <w:sz w:val="18"/>
              </w:rPr>
              <w:t>Task</w:t>
            </w:r>
          </w:p>
        </w:tc>
        <w:tc>
          <w:tcPr>
            <w:tcW w:type="dxa" w:w="4320"/>
          </w:tcPr>
          <w:p>
            <w:pPr>
              <w:keepNext/>
              <w:keepLines/>
              <w:spacing w:after="0"/>
            </w:pPr>
            <w:r/>
            <w:r>
              <w:rPr>
                <w:rFonts w:ascii="Arial" w:hAnsi="Arial"/>
                <w:b w:val="0"/>
                <w:color w:val="111827"/>
                <w:sz w:val="18"/>
              </w:rPr>
              <w:t>State exactly what you want</w:t>
            </w:r>
          </w:p>
        </w:tc>
      </w:tr>
      <w:tr>
        <w:trPr>
          <w:cantSplit/>
        </w:trPr>
        <w:tc>
          <w:tcPr>
            <w:tcW w:type="dxa" w:w="4320"/>
            <w:shd w:val="clear" w:color="auto" w:fill="F5F8FC"/>
          </w:tcPr>
          <w:p>
            <w:pPr>
              <w:keepNext/>
              <w:keepLines/>
              <w:spacing w:after="0"/>
            </w:pPr>
            <w:r/>
            <w:r>
              <w:rPr>
                <w:rFonts w:ascii="Arial" w:hAnsi="Arial"/>
                <w:b/>
                <w:color w:val="111827"/>
                <w:sz w:val="18"/>
              </w:rPr>
              <w:t>Context</w:t>
            </w:r>
          </w:p>
        </w:tc>
        <w:tc>
          <w:tcPr>
            <w:tcW w:type="dxa" w:w="4320"/>
            <w:shd w:val="clear" w:color="auto" w:fill="F5F8FC"/>
          </w:tcPr>
          <w:p>
            <w:pPr>
              <w:keepNext/>
              <w:keepLines/>
              <w:spacing w:after="0"/>
            </w:pPr>
            <w:r/>
            <w:r>
              <w:rPr>
                <w:rFonts w:ascii="Arial" w:hAnsi="Arial"/>
                <w:b w:val="0"/>
                <w:color w:val="111827"/>
                <w:sz w:val="18"/>
              </w:rPr>
              <w:t>Give the facts it needs</w:t>
            </w:r>
          </w:p>
        </w:tc>
      </w:tr>
      <w:tr>
        <w:trPr>
          <w:cantSplit/>
        </w:trPr>
        <w:tc>
          <w:tcPr>
            <w:tcW w:type="dxa" w:w="4320"/>
          </w:tcPr>
          <w:p>
            <w:pPr>
              <w:keepNext/>
              <w:keepLines/>
              <w:spacing w:after="0"/>
            </w:pPr>
            <w:r/>
            <w:r>
              <w:rPr>
                <w:rFonts w:ascii="Arial" w:hAnsi="Arial"/>
                <w:b/>
                <w:color w:val="111827"/>
                <w:sz w:val="18"/>
              </w:rPr>
              <w:t>Format</w:t>
            </w:r>
          </w:p>
        </w:tc>
        <w:tc>
          <w:tcPr>
            <w:tcW w:type="dxa" w:w="4320"/>
          </w:tcPr>
          <w:p>
            <w:pPr>
              <w:keepNext/>
              <w:keepLines/>
              <w:spacing w:after="0"/>
            </w:pPr>
            <w:r/>
            <w:r>
              <w:rPr>
                <w:rFonts w:ascii="Arial" w:hAnsi="Arial"/>
                <w:b w:val="0"/>
                <w:color w:val="111827"/>
                <w:sz w:val="18"/>
              </w:rPr>
              <w:t>Say how the answer should look</w:t>
            </w:r>
          </w:p>
        </w:tc>
      </w:tr>
      <w:tr>
        <w:trPr>
          <w:cantSplit/>
        </w:trPr>
        <w:tc>
          <w:tcPr>
            <w:tcW w:type="dxa" w:w="4320"/>
            <w:shd w:val="clear" w:color="auto" w:fill="F5F8FC"/>
          </w:tcPr>
          <w:p>
            <w:pPr>
              <w:keepNext w:val="0"/>
              <w:keepLines/>
              <w:spacing w:after="0"/>
            </w:pPr>
            <w:r/>
            <w:r>
              <w:rPr>
                <w:rFonts w:ascii="Arial" w:hAnsi="Arial"/>
                <w:b/>
                <w:color w:val="111827"/>
                <w:sz w:val="18"/>
              </w:rPr>
              <w:t>Constraints</w:t>
            </w:r>
          </w:p>
        </w:tc>
        <w:tc>
          <w:tcPr>
            <w:tcW w:type="dxa" w:w="4320"/>
            <w:shd w:val="clear" w:color="auto" w:fill="F5F8FC"/>
          </w:tcPr>
          <w:p>
            <w:pPr>
              <w:keepNext w:val="0"/>
              <w:keepLines/>
              <w:spacing w:after="0"/>
            </w:pPr>
            <w:r/>
            <w:r>
              <w:rPr>
                <w:rFonts w:ascii="Arial" w:hAnsi="Arial"/>
                <w:b w:val="0"/>
                <w:color w:val="111827"/>
                <w:sz w:val="18"/>
              </w:rPr>
              <w:t>Set length, tone and limits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75 — What Post-Training Adds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S07 — Ouyang et al., Training language models to follow instructions (InstructGPT)</w:t>
            </w:r>
          </w:p>
        </w:tc>
      </w:tr>
    </w:tbl>
    <w:p>
      <w:pPr>
        <w:spacing w:after="80"/>
      </w:pPr>
    </w:p>
    <w:p>
      <w:pPr>
        <w:spacing w:after="160"/>
      </w:pPr>
      <w:r>
        <w:rPr>
          <w:rFonts w:ascii="Arial" w:hAnsi="Arial"/>
          <w:b w:val="0"/>
          <w:i w:val="0"/>
          <w:color w:val="111827"/>
          <w:sz w:val="22"/>
        </w:rPr>
        <w:t>Read the points below as the few things worth remembering about “What Post-Training Adds”.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Base model</w:t>
            </w:r>
          </w:p>
        </w:tc>
        <w:tc>
          <w:tcPr>
            <w:tcW w:type="dxa" w:w="4320"/>
            <w:shd w:val="clear" w:color="auto" w:fill="F5F8FC"/>
          </w:tcPr>
          <w:p>
            <w:pPr>
              <w:keepNext/>
              <w:keepLines/>
              <w:spacing w:after="0"/>
            </w:pPr>
            <w:r/>
            <w:r>
              <w:rPr>
                <w:rFonts w:ascii="Arial" w:hAnsi="Arial"/>
                <w:b w:val="0"/>
                <w:color w:val="111827"/>
                <w:sz w:val="18"/>
              </w:rPr>
              <w:t>Predicts text from raw training data</w:t>
            </w:r>
          </w:p>
        </w:tc>
      </w:tr>
      <w:tr>
        <w:trPr>
          <w:cantSplit/>
        </w:trPr>
        <w:tc>
          <w:tcPr>
            <w:tcW w:type="dxa" w:w="4320"/>
          </w:tcPr>
          <w:p>
            <w:pPr>
              <w:keepNext/>
              <w:keepLines/>
              <w:spacing w:after="0"/>
            </w:pPr>
            <w:r/>
            <w:r>
              <w:rPr>
                <w:rFonts w:ascii="Arial" w:hAnsi="Arial"/>
                <w:b/>
                <w:color w:val="111827"/>
                <w:sz w:val="18"/>
              </w:rPr>
              <w:t>Instruction tuning</w:t>
            </w:r>
          </w:p>
        </w:tc>
        <w:tc>
          <w:tcPr>
            <w:tcW w:type="dxa" w:w="4320"/>
          </w:tcPr>
          <w:p>
            <w:pPr>
              <w:keepNext/>
              <w:keepLines/>
              <w:spacing w:after="0"/>
            </w:pPr>
            <w:r/>
            <w:r>
              <w:rPr>
                <w:rFonts w:ascii="Arial" w:hAnsi="Arial"/>
                <w:b w:val="0"/>
                <w:color w:val="111827"/>
                <w:sz w:val="18"/>
              </w:rPr>
              <w:t>Taught to follow instructions helpfully</w:t>
            </w:r>
          </w:p>
        </w:tc>
      </w:tr>
      <w:tr>
        <w:trPr>
          <w:cantSplit/>
        </w:trPr>
        <w:tc>
          <w:tcPr>
            <w:tcW w:type="dxa" w:w="4320"/>
            <w:shd w:val="clear" w:color="auto" w:fill="F5F8FC"/>
          </w:tcPr>
          <w:p>
            <w:pPr>
              <w:keepNext w:val="0"/>
              <w:keepLines/>
              <w:spacing w:after="0"/>
            </w:pPr>
            <w:r/>
            <w:r>
              <w:rPr>
                <w:rFonts w:ascii="Arial" w:hAnsi="Arial"/>
                <w:b/>
                <w:color w:val="111827"/>
                <w:sz w:val="18"/>
              </w:rPr>
              <w:t>Why you care</w:t>
            </w:r>
          </w:p>
        </w:tc>
        <w:tc>
          <w:tcPr>
            <w:tcW w:type="dxa" w:w="4320"/>
            <w:shd w:val="clear" w:color="auto" w:fill="F5F8FC"/>
          </w:tcPr>
          <w:p>
            <w:pPr>
              <w:keepNext w:val="0"/>
              <w:keepLines/>
              <w:spacing w:after="0"/>
            </w:pPr>
            <w:r/>
            <w:r>
              <w:rPr>
                <w:rFonts w:ascii="Arial" w:hAnsi="Arial"/>
                <w:b w:val="0"/>
                <w:color w:val="111827"/>
                <w:sz w:val="18"/>
              </w:rPr>
              <w:t>It is why a clear, well-formed prompt works so well</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76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77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85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Three scenarios drive the discussion: data, jobs and security.</w:t>
      </w:r>
    </w:p>
    <w:p>
      <w:pPr>
        <w:keepNext/>
        <w:keepLines/>
        <w:spacing w:after="100"/>
        <w:ind w:left="576" w:hanging="576"/>
      </w:pPr>
      <w:r>
        <w:rPr>
          <w:rFonts w:ascii="Arial" w:hAnsi="Arial"/>
          <w:b/>
          <w:color w:val="1F6FEB"/>
          <w:sz w:val="21"/>
        </w:rPr>
        <w:t xml:space="preserve">1.  </w:t>
      </w:r>
      <w:r>
        <w:rPr>
          <w:rFonts w:ascii="Arial" w:hAnsi="Arial"/>
          <w:color w:val="111827"/>
          <w:sz w:val="21"/>
        </w:rPr>
        <w:t>AI data governance</w:t>
      </w:r>
    </w:p>
    <w:p>
      <w:pPr>
        <w:keepNext/>
        <w:keepLines/>
        <w:spacing w:after="100"/>
        <w:ind w:left="576" w:hanging="576"/>
      </w:pPr>
      <w:r>
        <w:rPr>
          <w:rFonts w:ascii="Arial" w:hAnsi="Arial"/>
          <w:b/>
          <w:color w:val="1F6FEB"/>
          <w:sz w:val="21"/>
        </w:rPr>
        <w:t xml:space="preserve">2.  </w:t>
      </w:r>
      <w:r>
        <w:rPr>
          <w:rFonts w:ascii="Arial" w:hAnsi="Arial"/>
          <w:color w:val="111827"/>
          <w:sz w:val="21"/>
        </w:rPr>
        <w:t>Accountability</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AI-agent cybersecurity risks</w:t>
      </w:r>
    </w:p>
    <w:p>
      <w:pPr>
        <w:keepNext w:val="0"/>
        <w:keepLines/>
        <w:spacing w:after="100"/>
        <w:ind w:left="576" w:hanging="576"/>
      </w:pPr>
      <w:r>
        <w:rPr>
          <w:rFonts w:ascii="Arial" w:hAnsi="Arial"/>
          <w:b/>
          <w:color w:val="1F6FEB"/>
          <w:sz w:val="21"/>
        </w:rPr>
        <w:t xml:space="preserve">5.  </w:t>
      </w:r>
      <w:r>
        <w:rPr>
          <w:rFonts w:ascii="Arial" w:hAnsi="Arial"/>
          <w:color w:val="111827"/>
          <w:sz w:val="21"/>
        </w:rPr>
        <w:t>Safe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scenarios drive the discussion: data, jobs and security.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86 — Scenario A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A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87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88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90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91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94 — Scenario B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B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Read the points below as the few things worth remembering about “The Numbers Give Perspective”.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+170M</w:t>
            </w:r>
          </w:p>
        </w:tc>
        <w:tc>
          <w:tcPr>
            <w:tcW w:type="dxa" w:w="4320"/>
            <w:shd w:val="clear" w:color="auto" w:fill="F5F8FC"/>
          </w:tcPr>
          <w:p>
            <w:pPr>
              <w:keepNext/>
              <w:keepLines/>
              <w:spacing w:after="0"/>
            </w:pPr>
            <w:r/>
            <w:r>
              <w:rPr>
                <w:rFonts w:ascii="Arial" w:hAnsi="Arial"/>
                <w:b w:val="0"/>
                <w:color w:val="111827"/>
                <w:sz w:val="18"/>
              </w:rPr>
              <w:t>New jobs created by 2030 (WEF Future of Jobs 2025)</w:t>
            </w:r>
          </w:p>
        </w:tc>
      </w:tr>
      <w:tr>
        <w:trPr>
          <w:cantSplit/>
        </w:trPr>
        <w:tc>
          <w:tcPr>
            <w:tcW w:type="dxa" w:w="4320"/>
          </w:tcPr>
          <w:p>
            <w:pPr>
              <w:keepNext/>
              <w:keepLines/>
              <w:spacing w:after="0"/>
            </w:pPr>
            <w:r/>
            <w:r>
              <w:rPr>
                <w:rFonts w:ascii="Arial" w:hAnsi="Arial"/>
                <w:b/>
                <w:color w:val="111827"/>
                <w:sz w:val="18"/>
              </w:rPr>
              <w:t>-92M</w:t>
            </w:r>
          </w:p>
        </w:tc>
        <w:tc>
          <w:tcPr>
            <w:tcW w:type="dxa" w:w="4320"/>
          </w:tcPr>
          <w:p>
            <w:pPr>
              <w:keepNext/>
              <w:keepLines/>
              <w:spacing w:after="0"/>
            </w:pPr>
            <w:r/>
            <w:r>
              <w:rPr>
                <w:rFonts w:ascii="Arial" w:hAnsi="Arial"/>
                <w:b w:val="0"/>
                <w:color w:val="111827"/>
                <w:sz w:val="18"/>
              </w:rPr>
              <w:t>Jobs displaced by 2030 — a net gain of about 78M</w:t>
            </w:r>
          </w:p>
        </w:tc>
      </w:tr>
      <w:tr>
        <w:trPr>
          <w:cantSplit/>
        </w:trPr>
        <w:tc>
          <w:tcPr>
            <w:tcW w:type="dxa" w:w="4320"/>
            <w:shd w:val="clear" w:color="auto" w:fill="F5F8FC"/>
          </w:tcPr>
          <w:p>
            <w:pPr>
              <w:keepNext w:val="0"/>
              <w:keepLines/>
              <w:spacing w:after="0"/>
            </w:pPr>
            <w:r/>
            <w:r>
              <w:rPr>
                <w:rFonts w:ascii="Arial" w:hAnsi="Arial"/>
                <w:b/>
                <w:color w:val="111827"/>
                <w:sz w:val="18"/>
              </w:rPr>
              <w:t>39%</w:t>
            </w:r>
          </w:p>
        </w:tc>
        <w:tc>
          <w:tcPr>
            <w:tcW w:type="dxa" w:w="4320"/>
            <w:shd w:val="clear" w:color="auto" w:fill="F5F8FC"/>
          </w:tcPr>
          <w:p>
            <w:pPr>
              <w:keepNext w:val="0"/>
              <w:keepLines/>
              <w:spacing w:after="0"/>
            </w:pPr>
            <w:r/>
            <w:r>
              <w:rPr>
                <w:rFonts w:ascii="Arial" w:hAnsi="Arial"/>
                <w:b w:val="0"/>
                <w:color w:val="111827"/>
                <w:sz w:val="18"/>
              </w:rPr>
              <w:t>Share of core skills expected to change by 2030</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103 — Scenario C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C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113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Let agents act — but bound the authority and keep a human answerable.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Let agents act — but bound the authority and keep a human answerable.</w:t>
            </w:r>
          </w:p>
        </w:tc>
      </w:tr>
    </w:tbl>
    <w:p>
      <w:r>
        <w:br w:type="page"/>
      </w:r>
    </w:p>
    <w:p>
      <w:pPr>
        <w:pStyle w:val="Heading2"/>
      </w:pPr>
      <w:r>
        <w:t>Slide 119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points below unpack what “Assessment Reminder” means in practice.</w:t>
      </w:r>
    </w:p>
    <w:p>
      <w:pPr>
        <w:pStyle w:val="ListBullet"/>
        <w:keepNext/>
        <w:keepLines/>
        <w:spacing w:after="100"/>
      </w:pPr>
      <w:r>
        <w:rPr>
          <w:rFonts w:ascii="Arial" w:hAnsi="Arial"/>
          <w:color w:val="111827"/>
          <w:sz w:val="21"/>
        </w:rPr>
        <w:t>Complete the required digital attendance</w:t>
      </w:r>
    </w:p>
    <w:p>
      <w:pPr>
        <w:pStyle w:val="ListBullet"/>
        <w:keepNext/>
        <w:keepLines/>
        <w:spacing w:after="100"/>
      </w:pPr>
      <w:r>
        <w:rPr>
          <w:rFonts w:ascii="Arial" w:hAnsi="Arial"/>
          <w:color w:val="111827"/>
          <w:sz w:val="21"/>
        </w:rPr>
        <w:t>Use the slides, Learner Guide and your own activity notes — open book</w:t>
      </w:r>
    </w:p>
    <w:p>
      <w:pPr>
        <w:pStyle w:val="ListBullet"/>
        <w:keepNext w:val="0"/>
        <w:keepLines/>
        <w:spacing w:after="100"/>
      </w:pPr>
      <w:r>
        <w:rPr>
          <w:rFonts w:ascii="Arial" w:hAnsi="Arial"/>
          <w:color w:val="111827"/>
          <w:sz w:val="21"/>
        </w:rPr>
        <w:t>Submit the required files on the LMS</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CNN — H&amp;M to create AI 'digital twins' of models (Mar 2025)</w:t>
            </w:r>
          </w:p>
        </w:tc>
        <w:tc>
          <w:tcPr>
            <w:tcW w:type="dxa" w:w="2880"/>
            <w:shd w:val="clear" w:color="auto" w:fill="F5F8FC"/>
          </w:tcPr>
          <w:p>
            <w:pPr>
              <w:keepLines/>
              <w:spacing w:after="0"/>
            </w:pPr>
            <w:r/>
            <w:r>
              <w:rPr>
                <w:rFonts w:ascii="Arial" w:hAnsi="Arial"/>
                <w:b w:val="0"/>
                <w:color w:val="111827"/>
                <w:sz w:val="14"/>
              </w:rPr>
              <w:t>https://www.cnn.com/2025/03/28/style/h-and-m-ai-models-intl-scli</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CNN — AI models in Guess ad in Vogue's August 2025 issue</w:t>
            </w:r>
          </w:p>
        </w:tc>
        <w:tc>
          <w:tcPr>
            <w:tcW w:type="dxa" w:w="2880"/>
          </w:tcPr>
          <w:p>
            <w:pPr>
              <w:keepLines/>
              <w:spacing w:after="0"/>
            </w:pPr>
            <w:r/>
            <w:r>
              <w:rPr>
                <w:rFonts w:ascii="Arial" w:hAnsi="Arial"/>
                <w:b w:val="0"/>
                <w:color w:val="111827"/>
                <w:sz w:val="14"/>
              </w:rPr>
              <w:t>https://www.cnn.com/2025/07/31/style/vogue-ai-models-guess-campaign</w:t>
            </w:r>
          </w:p>
        </w:tc>
      </w:tr>
      <w:tr>
        <w:trPr>
          <w:cantSplit/>
        </w:trPr>
        <w:tc>
          <w:tcPr>
            <w:tcW w:type="dxa" w:w="2880"/>
            <w:shd w:val="clear" w:color="auto" w:fill="F5F8FC"/>
          </w:tcPr>
          <w:p>
            <w:pPr>
              <w:keepLines/>
              <w:spacing w:after="0"/>
            </w:pPr>
            <w:r/>
            <w:r>
              <w:rPr>
                <w:rFonts w:ascii="Arial" w:hAnsi="Arial"/>
                <w:b/>
                <w:color w:val="111827"/>
                <w:sz w:val="14"/>
              </w:rPr>
              <w:t>S23</w:t>
            </w:r>
          </w:p>
        </w:tc>
        <w:tc>
          <w:tcPr>
            <w:tcW w:type="dxa" w:w="2880"/>
            <w:shd w:val="clear" w:color="auto" w:fill="F5F8FC"/>
          </w:tcPr>
          <w:p>
            <w:pPr>
              <w:keepLines/>
              <w:spacing w:after="0"/>
            </w:pPr>
            <w:r/>
            <w:r>
              <w:rPr>
                <w:rFonts w:ascii="Arial" w:hAnsi="Arial"/>
                <w:b w:val="0"/>
                <w:color w:val="111827"/>
                <w:sz w:val="14"/>
              </w:rPr>
              <w:t>OpenAI — Sora 2 is here (30 Sep 2025)</w:t>
            </w:r>
          </w:p>
        </w:tc>
        <w:tc>
          <w:tcPr>
            <w:tcW w:type="dxa" w:w="2880"/>
            <w:shd w:val="clear" w:color="auto" w:fill="F5F8FC"/>
          </w:tcPr>
          <w:p>
            <w:pPr>
              <w:keepLines/>
              <w:spacing w:after="0"/>
            </w:pPr>
            <w:r/>
            <w:r>
              <w:rPr>
                <w:rFonts w:ascii="Arial" w:hAnsi="Arial"/>
                <w:b w:val="0"/>
                <w:color w:val="111827"/>
                <w:sz w:val="14"/>
              </w:rPr>
              <w:t>https://openai.com/index/sora-2/</w:t>
            </w:r>
          </w:p>
        </w:tc>
      </w:tr>
      <w:tr>
        <w:trPr>
          <w:cantSplit/>
        </w:trPr>
        <w:tc>
          <w:tcPr>
            <w:tcW w:type="dxa" w:w="2880"/>
          </w:tcPr>
          <w:p>
            <w:pPr>
              <w:keepLines/>
              <w:spacing w:after="0"/>
            </w:pPr>
            <w:r/>
            <w:r>
              <w:rPr>
                <w:rFonts w:ascii="Arial" w:hAnsi="Arial"/>
                <w:b/>
                <w:color w:val="111827"/>
                <w:sz w:val="14"/>
              </w:rPr>
              <w:t>S24</w:t>
            </w:r>
          </w:p>
        </w:tc>
        <w:tc>
          <w:tcPr>
            <w:tcW w:type="dxa" w:w="2880"/>
          </w:tcPr>
          <w:p>
            <w:pPr>
              <w:keepLines/>
              <w:spacing w:after="0"/>
            </w:pPr>
            <w:r/>
            <w:r>
              <w:rPr>
                <w:rFonts w:ascii="Arial" w:hAnsi="Arial"/>
                <w:b w:val="0"/>
                <w:color w:val="111827"/>
                <w:sz w:val="14"/>
              </w:rPr>
              <w:t>Forbes — Coca-Cola AI-generated Christmas ad, again (Nov 2025)</w:t>
            </w:r>
          </w:p>
        </w:tc>
        <w:tc>
          <w:tcPr>
            <w:tcW w:type="dxa" w:w="2880"/>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shd w:val="clear" w:color="auto" w:fill="F5F8FC"/>
          </w:tcPr>
          <w:p>
            <w:pPr>
              <w:keepLines/>
              <w:spacing w:after="0"/>
            </w:pPr>
            <w:r/>
            <w:r>
              <w:rPr>
                <w:rFonts w:ascii="Arial" w:hAnsi="Arial"/>
                <w:b/>
                <w:color w:val="111827"/>
                <w:sz w:val="14"/>
              </w:rPr>
              <w:t>S25</w:t>
            </w:r>
          </w:p>
        </w:tc>
        <w:tc>
          <w:tcPr>
            <w:tcW w:type="dxa" w:w="2880"/>
            <w:shd w:val="clear" w:color="auto" w:fill="F5F8FC"/>
          </w:tcPr>
          <w:p>
            <w:pPr>
              <w:keepLines/>
              <w:spacing w:after="0"/>
            </w:pPr>
            <w:r/>
            <w:r>
              <w:rPr>
                <w:rFonts w:ascii="Arial" w:hAnsi="Arial"/>
                <w:b w:val="0"/>
                <w:color w:val="111827"/>
                <w:sz w:val="14"/>
              </w:rPr>
              <w:t>Klarna — AI assistant handles two-thirds of chats in first month (27 Feb 2024)</w:t>
            </w:r>
          </w:p>
        </w:tc>
        <w:tc>
          <w:tcPr>
            <w:tcW w:type="dxa" w:w="2880"/>
            <w:shd w:val="clear" w:color="auto" w:fill="F5F8FC"/>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tcPr>
          <w:p>
            <w:pPr>
              <w:keepLines/>
              <w:spacing w:after="0"/>
            </w:pPr>
            <w:r/>
            <w:r>
              <w:rPr>
                <w:rFonts w:ascii="Arial" w:hAnsi="Arial"/>
                <w:b/>
                <w:color w:val="111827"/>
                <w:sz w:val="14"/>
              </w:rPr>
              <w:t>S26</w:t>
            </w:r>
          </w:p>
        </w:tc>
        <w:tc>
          <w:tcPr>
            <w:tcW w:type="dxa" w:w="2880"/>
          </w:tcPr>
          <w:p>
            <w:pPr>
              <w:keepLines/>
              <w:spacing w:after="0"/>
            </w:pPr>
            <w:r/>
            <w:r>
              <w:rPr>
                <w:rFonts w:ascii="Arial" w:hAnsi="Arial"/>
                <w:b w:val="0"/>
                <w:color w:val="111827"/>
                <w:sz w:val="14"/>
              </w:rPr>
              <w:t>Forbes — Klarna reverses on AI, re-hires human agents (May 2025)</w:t>
            </w:r>
          </w:p>
        </w:tc>
        <w:tc>
          <w:tcPr>
            <w:tcW w:type="dxa" w:w="2880"/>
          </w:tcPr>
          <w:p>
            <w:pPr>
              <w:keepLines/>
              <w:spacing w:after="0"/>
            </w:pPr>
            <w:r/>
            <w:r>
              <w:rPr>
                <w:rFonts w:ascii="Arial" w:hAnsi="Arial"/>
                <w:b w:val="0"/>
                <w:color w:val="111827"/>
                <w:sz w:val="14"/>
              </w:rPr>
              <w:t>https://www.forbes.com/sites/quickerbettertech/2025/05/18/business-tech-news-klarna-reverses-on-ai-says-customers-like-talking-to-people/</w:t>
            </w:r>
          </w:p>
        </w:tc>
      </w:tr>
      <w:tr>
        <w:trPr>
          <w:cantSplit/>
        </w:trPr>
        <w:tc>
          <w:tcPr>
            <w:tcW w:type="dxa" w:w="2880"/>
            <w:shd w:val="clear" w:color="auto" w:fill="F5F8FC"/>
          </w:tcPr>
          <w:p>
            <w:pPr>
              <w:keepLines/>
              <w:spacing w:after="0"/>
            </w:pPr>
            <w:r/>
            <w:r>
              <w:rPr>
                <w:rFonts w:ascii="Arial" w:hAnsi="Arial"/>
                <w:b/>
                <w:color w:val="111827"/>
                <w:sz w:val="14"/>
              </w:rPr>
              <w:t>S30</w:t>
            </w:r>
          </w:p>
        </w:tc>
        <w:tc>
          <w:tcPr>
            <w:tcW w:type="dxa" w:w="2880"/>
            <w:shd w:val="clear" w:color="auto" w:fill="F5F8FC"/>
          </w:tcPr>
          <w:p>
            <w:pPr>
              <w:keepLines/>
              <w:spacing w:after="0"/>
            </w:pPr>
            <w:r/>
            <w:r>
              <w:rPr>
                <w:rFonts w:ascii="Arial" w:hAnsi="Arial"/>
                <w:b w:val="0"/>
                <w:color w:val="111827"/>
                <w:sz w:val="14"/>
              </w:rPr>
              <w:t>OpenClaw — Wikipedia (naming and adoption history)</w:t>
            </w:r>
          </w:p>
        </w:tc>
        <w:tc>
          <w:tcPr>
            <w:tcW w:type="dxa" w:w="2880"/>
            <w:shd w:val="clear" w:color="auto" w:fill="F5F8FC"/>
          </w:tcPr>
          <w:p>
            <w:pPr>
              <w:keepLines/>
              <w:spacing w:after="0"/>
            </w:pPr>
            <w:r/>
            <w:r>
              <w:rPr>
                <w:rFonts w:ascii="Arial" w:hAnsi="Arial"/>
                <w:b w:val="0"/>
                <w:color w:val="111827"/>
                <w:sz w:val="14"/>
              </w:rPr>
              <w:t>https://en.wikipedia.org/wiki/OpenClaw</w:t>
            </w:r>
          </w:p>
        </w:tc>
      </w:tr>
      <w:tr>
        <w:trPr>
          <w:cantSplit/>
        </w:trPr>
        <w:tc>
          <w:tcPr>
            <w:tcW w:type="dxa" w:w="2880"/>
          </w:tcPr>
          <w:p>
            <w:pPr>
              <w:keepLines/>
              <w:spacing w:after="0"/>
            </w:pPr>
            <w:r/>
            <w:r>
              <w:rPr>
                <w:rFonts w:ascii="Arial" w:hAnsi="Arial"/>
                <w:b/>
                <w:color w:val="111827"/>
                <w:sz w:val="14"/>
              </w:rPr>
              <w:t>S31</w:t>
            </w:r>
          </w:p>
        </w:tc>
        <w:tc>
          <w:tcPr>
            <w:tcW w:type="dxa" w:w="2880"/>
          </w:tcPr>
          <w:p>
            <w:pPr>
              <w:keepLines/>
              <w:spacing w:after="0"/>
            </w:pPr>
            <w:r/>
            <w:r>
              <w:rPr>
                <w:rFonts w:ascii="Arial" w:hAnsi="Arial"/>
                <w:b w:val="0"/>
                <w:color w:val="111827"/>
                <w:sz w:val="14"/>
              </w:rPr>
              <w:t>OpenClaw — official site and docs</w:t>
            </w:r>
          </w:p>
        </w:tc>
        <w:tc>
          <w:tcPr>
            <w:tcW w:type="dxa" w:w="2880"/>
          </w:tcPr>
          <w:p>
            <w:pPr>
              <w:keepLines/>
              <w:spacing w:after="0"/>
            </w:pPr>
            <w:r/>
            <w:r>
              <w:rPr>
                <w:rFonts w:ascii="Arial" w:hAnsi="Arial"/>
                <w:b w:val="0"/>
                <w:color w:val="111827"/>
                <w:sz w:val="14"/>
              </w:rPr>
              <w:t>https://docs.openclaw.ai/</w:t>
            </w:r>
          </w:p>
        </w:tc>
      </w:tr>
      <w:tr>
        <w:trPr>
          <w:cantSplit/>
        </w:trPr>
        <w:tc>
          <w:tcPr>
            <w:tcW w:type="dxa" w:w="2880"/>
            <w:shd w:val="clear" w:color="auto" w:fill="F5F8FC"/>
          </w:tcPr>
          <w:p>
            <w:pPr>
              <w:keepLines/>
              <w:spacing w:after="0"/>
            </w:pPr>
            <w:r/>
            <w:r>
              <w:rPr>
                <w:rFonts w:ascii="Arial" w:hAnsi="Arial"/>
                <w:b/>
                <w:color w:val="111827"/>
                <w:sz w:val="14"/>
              </w:rPr>
              <w:t>S32</w:t>
            </w:r>
          </w:p>
        </w:tc>
        <w:tc>
          <w:tcPr>
            <w:tcW w:type="dxa" w:w="2880"/>
            <w:shd w:val="clear" w:color="auto" w:fill="F5F8FC"/>
          </w:tcPr>
          <w:p>
            <w:pPr>
              <w:keepLines/>
              <w:spacing w:after="0"/>
            </w:pPr>
            <w:r/>
            <w:r>
              <w:rPr>
                <w:rFonts w:ascii="Arial" w:hAnsi="Arial"/>
                <w:b w:val="0"/>
                <w:color w:val="111827"/>
                <w:sz w:val="14"/>
              </w:rPr>
              <w:t>Peter Steinberger — GitHub (steipete)</w:t>
            </w:r>
          </w:p>
        </w:tc>
        <w:tc>
          <w:tcPr>
            <w:tcW w:type="dxa" w:w="2880"/>
            <w:shd w:val="clear" w:color="auto" w:fill="F5F8FC"/>
          </w:tcPr>
          <w:p>
            <w:pPr>
              <w:keepLines/>
              <w:spacing w:after="0"/>
            </w:pPr>
            <w:r/>
            <w:r>
              <w:rPr>
                <w:rFonts w:ascii="Arial" w:hAnsi="Arial"/>
                <w:b w:val="0"/>
                <w:color w:val="111827"/>
                <w:sz w:val="14"/>
              </w:rPr>
              <w:t>https://github.com/steipete</w:t>
            </w:r>
          </w:p>
        </w:tc>
      </w:tr>
      <w:tr>
        <w:trPr>
          <w:cantSplit/>
        </w:trPr>
        <w:tc>
          <w:tcPr>
            <w:tcW w:type="dxa" w:w="2880"/>
          </w:tcPr>
          <w:p>
            <w:pPr>
              <w:keepLines/>
              <w:spacing w:after="0"/>
            </w:pPr>
            <w:r/>
            <w:r>
              <w:rPr>
                <w:rFonts w:ascii="Arial" w:hAnsi="Arial"/>
                <w:b/>
                <w:color w:val="111827"/>
                <w:sz w:val="14"/>
              </w:rPr>
              <w:t>S33</w:t>
            </w:r>
          </w:p>
        </w:tc>
        <w:tc>
          <w:tcPr>
            <w:tcW w:type="dxa" w:w="2880"/>
          </w:tcPr>
          <w:p>
            <w:pPr>
              <w:keepLines/>
              <w:spacing w:after="0"/>
            </w:pPr>
            <w:r/>
            <w:r>
              <w:rPr>
                <w:rFonts w:ascii="Arial" w:hAnsi="Arial"/>
                <w:b w:val="0"/>
                <w:color w:val="111827"/>
                <w:sz w:val="14"/>
              </w:rPr>
              <w:t>Hermes Agent (Nous Research) — documentation</w:t>
            </w:r>
          </w:p>
        </w:tc>
        <w:tc>
          <w:tcPr>
            <w:tcW w:type="dxa" w:w="2880"/>
          </w:tcPr>
          <w:p>
            <w:pPr>
              <w:keepLines/>
              <w:spacing w:after="0"/>
            </w:pPr>
            <w:r/>
            <w:r>
              <w:rPr>
                <w:rFonts w:ascii="Arial" w:hAnsi="Arial"/>
                <w:b w:val="0"/>
                <w:color w:val="111827"/>
                <w:sz w:val="14"/>
              </w:rPr>
              <w:t>https://hermes-agent.nousresearch.com/docs/</w:t>
            </w:r>
          </w:p>
        </w:tc>
      </w:tr>
      <w:tr>
        <w:trPr>
          <w:cantSplit/>
        </w:trPr>
        <w:tc>
          <w:tcPr>
            <w:tcW w:type="dxa" w:w="2880"/>
            <w:shd w:val="clear" w:color="auto" w:fill="F5F8FC"/>
          </w:tcPr>
          <w:p>
            <w:pPr>
              <w:keepLines/>
              <w:spacing w:after="0"/>
            </w:pPr>
            <w:r/>
            <w:r>
              <w:rPr>
                <w:rFonts w:ascii="Arial" w:hAnsi="Arial"/>
                <w:b/>
                <w:color w:val="111827"/>
                <w:sz w:val="14"/>
              </w:rPr>
              <w:t>S34</w:t>
            </w:r>
          </w:p>
        </w:tc>
        <w:tc>
          <w:tcPr>
            <w:tcW w:type="dxa" w:w="2880"/>
            <w:shd w:val="clear" w:color="auto" w:fill="F5F8FC"/>
          </w:tcPr>
          <w:p>
            <w:pPr>
              <w:keepLines/>
              <w:spacing w:after="0"/>
            </w:pPr>
            <w:r/>
            <w:r>
              <w:rPr>
                <w:rFonts w:ascii="Arial" w:hAnsi="Arial"/>
                <w:b w:val="0"/>
                <w:color w:val="111827"/>
                <w:sz w:val="14"/>
              </w:rPr>
              <w:t>Hermes Agent — Desktop app user guide</w:t>
            </w:r>
          </w:p>
        </w:tc>
        <w:tc>
          <w:tcPr>
            <w:tcW w:type="dxa" w:w="2880"/>
            <w:shd w:val="clear" w:color="auto" w:fill="F5F8FC"/>
          </w:tcPr>
          <w:p>
            <w:pPr>
              <w:keepLines/>
              <w:spacing w:after="0"/>
            </w:pPr>
            <w:r/>
            <w:r>
              <w:rPr>
                <w:rFonts w:ascii="Arial" w:hAnsi="Arial"/>
                <w:b w:val="0"/>
                <w:color w:val="111827"/>
                <w:sz w:val="14"/>
              </w:rPr>
              <w:t>https://hermes-agent.nousresearch.com/docs/user-guide/desktop</w:t>
            </w:r>
          </w:p>
        </w:tc>
      </w:tr>
      <w:tr>
        <w:trPr>
          <w:cantSplit/>
        </w:trPr>
        <w:tc>
          <w:tcPr>
            <w:tcW w:type="dxa" w:w="2880"/>
          </w:tcPr>
          <w:p>
            <w:pPr>
              <w:keepLines/>
              <w:spacing w:after="0"/>
            </w:pPr>
            <w:r/>
            <w:r>
              <w:rPr>
                <w:rFonts w:ascii="Arial" w:hAnsi="Arial"/>
                <w:b/>
                <w:color w:val="111827"/>
                <w:sz w:val="14"/>
              </w:rPr>
              <w:t>S35</w:t>
            </w:r>
          </w:p>
        </w:tc>
        <w:tc>
          <w:tcPr>
            <w:tcW w:type="dxa" w:w="2880"/>
          </w:tcPr>
          <w:p>
            <w:pPr>
              <w:keepLines/>
              <w:spacing w:after="0"/>
            </w:pPr>
            <w:r/>
            <w:r>
              <w:rPr>
                <w:rFonts w:ascii="Arial" w:hAnsi="Arial"/>
                <w:b w:val="0"/>
                <w:color w:val="111827"/>
                <w:sz w:val="14"/>
              </w:rPr>
              <w:t>Hermes Agent — Security</w:t>
            </w:r>
          </w:p>
        </w:tc>
        <w:tc>
          <w:tcPr>
            <w:tcW w:type="dxa" w:w="2880"/>
          </w:tcPr>
          <w:p>
            <w:pPr>
              <w:keepLines/>
              <w:spacing w:after="0"/>
            </w:pPr>
            <w:r/>
            <w:r>
              <w:rPr>
                <w:rFonts w:ascii="Arial" w:hAnsi="Arial"/>
                <w:b w:val="0"/>
                <w:color w:val="111827"/>
                <w:sz w:val="14"/>
              </w:rPr>
              <w:t>https://hermes-agent.nousresearch.com/docs/user-guide/security</w:t>
            </w:r>
          </w:p>
        </w:tc>
      </w:tr>
      <w:tr>
        <w:trPr>
          <w:cantSplit/>
        </w:trPr>
        <w:tc>
          <w:tcPr>
            <w:tcW w:type="dxa" w:w="2880"/>
            <w:shd w:val="clear" w:color="auto" w:fill="F5F8FC"/>
          </w:tcPr>
          <w:p>
            <w:pPr>
              <w:keepLines/>
              <w:spacing w:after="0"/>
            </w:pPr>
            <w:r/>
            <w:r>
              <w:rPr>
                <w:rFonts w:ascii="Arial" w:hAnsi="Arial"/>
                <w:b/>
                <w:color w:val="111827"/>
                <w:sz w:val="14"/>
              </w:rPr>
              <w:t>S36</w:t>
            </w:r>
          </w:p>
        </w:tc>
        <w:tc>
          <w:tcPr>
            <w:tcW w:type="dxa" w:w="2880"/>
            <w:shd w:val="clear" w:color="auto" w:fill="F5F8FC"/>
          </w:tcPr>
          <w:p>
            <w:pPr>
              <w:keepLines/>
              <w:spacing w:after="0"/>
            </w:pPr>
            <w:r/>
            <w:r>
              <w:rPr>
                <w:rFonts w:ascii="Arial" w:hAnsi="Arial"/>
                <w:b w:val="0"/>
                <w:color w:val="111827"/>
                <w:sz w:val="14"/>
              </w:rPr>
              <w:t>MiniMax — MiniMax-M2 news and platform</w:t>
            </w:r>
          </w:p>
        </w:tc>
        <w:tc>
          <w:tcPr>
            <w:tcW w:type="dxa" w:w="2880"/>
            <w:shd w:val="clear" w:color="auto" w:fill="F5F8FC"/>
          </w:tcPr>
          <w:p>
            <w:pPr>
              <w:keepLines/>
              <w:spacing w:after="0"/>
            </w:pPr>
            <w:r/>
            <w:r>
              <w:rPr>
                <w:rFonts w:ascii="Arial" w:hAnsi="Arial"/>
                <w:b w:val="0"/>
                <w:color w:val="111827"/>
                <w:sz w:val="14"/>
              </w:rPr>
              <w:t>https://www.minimax.io/news/minimax-m2</w:t>
            </w:r>
          </w:p>
        </w:tc>
      </w:tr>
      <w:tr>
        <w:trPr>
          <w:cantSplit/>
        </w:trPr>
        <w:tc>
          <w:tcPr>
            <w:tcW w:type="dxa" w:w="2880"/>
          </w:tcPr>
          <w:p>
            <w:pPr>
              <w:keepLines/>
              <w:spacing w:after="0"/>
            </w:pPr>
            <w:r/>
            <w:r>
              <w:rPr>
                <w:rFonts w:ascii="Arial" w:hAnsi="Arial"/>
                <w:b/>
                <w:color w:val="111827"/>
                <w:sz w:val="14"/>
              </w:rPr>
              <w:t>S37</w:t>
            </w:r>
          </w:p>
        </w:tc>
        <w:tc>
          <w:tcPr>
            <w:tcW w:type="dxa" w:w="2880"/>
          </w:tcPr>
          <w:p>
            <w:pPr>
              <w:keepLines/>
              <w:spacing w:after="0"/>
            </w:pPr>
            <w:r/>
            <w:r>
              <w:rPr>
                <w:rFonts w:ascii="Arial" w:hAnsi="Arial"/>
                <w:b w:val="0"/>
                <w:color w:val="111827"/>
                <w:sz w:val="14"/>
              </w:rPr>
              <w:t>MiniMax — platform docs (API and models)</w:t>
            </w:r>
          </w:p>
        </w:tc>
        <w:tc>
          <w:tcPr>
            <w:tcW w:type="dxa" w:w="2880"/>
          </w:tcPr>
          <w:p>
            <w:pPr>
              <w:keepLines/>
              <w:spacing w:after="0"/>
            </w:pPr>
            <w:r/>
            <w:r>
              <w:rPr>
                <w:rFonts w:ascii="Arial" w:hAnsi="Arial"/>
                <w:b w:val="0"/>
                <w:color w:val="111827"/>
                <w:sz w:val="14"/>
              </w:rPr>
              <w:t>https://platform.minimax.io/docs/guides/text-generation</w:t>
            </w:r>
          </w:p>
        </w:tc>
      </w:tr>
      <w:tr>
        <w:trPr>
          <w:cantSplit/>
        </w:trPr>
        <w:tc>
          <w:tcPr>
            <w:tcW w:type="dxa" w:w="2880"/>
            <w:shd w:val="clear" w:color="auto" w:fill="F5F8FC"/>
          </w:tcPr>
          <w:p>
            <w:pPr>
              <w:keepLines/>
              <w:spacing w:after="0"/>
            </w:pPr>
            <w:r/>
            <w:r>
              <w:rPr>
                <w:rFonts w:ascii="Arial" w:hAnsi="Arial"/>
                <w:b/>
                <w:color w:val="111827"/>
                <w:sz w:val="14"/>
              </w:rPr>
              <w:t>S40</w:t>
            </w:r>
          </w:p>
        </w:tc>
        <w:tc>
          <w:tcPr>
            <w:tcW w:type="dxa" w:w="2880"/>
            <w:shd w:val="clear" w:color="auto" w:fill="F5F8FC"/>
          </w:tcPr>
          <w:p>
            <w:pPr>
              <w:keepLines/>
              <w:spacing w:after="0"/>
            </w:pPr>
            <w:r/>
            <w:r>
              <w:rPr>
                <w:rFonts w:ascii="Arial" w:hAnsi="Arial"/>
                <w:b w:val="0"/>
                <w:color w:val="111827"/>
                <w:sz w:val="14"/>
              </w:rPr>
              <w:t>IMDA Model AI Governance Framework for Generative AI</w:t>
            </w:r>
          </w:p>
        </w:tc>
        <w:tc>
          <w:tcPr>
            <w:tcW w:type="dxa" w:w="2880"/>
            <w:shd w:val="clear" w:color="auto" w:fill="F5F8FC"/>
          </w:tcPr>
          <w:p>
            <w:pPr>
              <w:keepLines/>
              <w:spacing w:after="0"/>
            </w:pPr>
            <w:r/>
            <w:r>
              <w:rPr>
                <w:rFonts w:ascii="Arial" w:hAnsi="Arial"/>
                <w:b w:val="0"/>
                <w:color w:val="111827"/>
                <w:sz w:val="14"/>
              </w:rPr>
              <w:t>https://aiverifyfoundation.sg/resources/mgf-gen-ai/</w:t>
            </w:r>
          </w:p>
        </w:tc>
      </w:tr>
      <w:tr>
        <w:trPr>
          <w:cantSplit/>
        </w:trPr>
        <w:tc>
          <w:tcPr>
            <w:tcW w:type="dxa" w:w="2880"/>
          </w:tcPr>
          <w:p>
            <w:pPr>
              <w:keepLines/>
              <w:spacing w:after="0"/>
            </w:pPr>
            <w:r/>
            <w:r>
              <w:rPr>
                <w:rFonts w:ascii="Arial" w:hAnsi="Arial"/>
                <w:b/>
                <w:color w:val="111827"/>
                <w:sz w:val="14"/>
              </w:rPr>
              <w:t>S41</w:t>
            </w:r>
          </w:p>
        </w:tc>
        <w:tc>
          <w:tcPr>
            <w:tcW w:type="dxa" w:w="2880"/>
          </w:tcPr>
          <w:p>
            <w:pPr>
              <w:keepLines/>
              <w:spacing w:after="0"/>
            </w:pPr>
            <w:r/>
            <w:r>
              <w:rPr>
                <w:rFonts w:ascii="Arial" w:hAnsi="Arial"/>
                <w:b w:val="0"/>
                <w:color w:val="111827"/>
                <w:sz w:val="14"/>
              </w:rPr>
              <w:t>PDPC Advisory Guidelines on Key Concepts in the PDPA</w:t>
            </w:r>
          </w:p>
        </w:tc>
        <w:tc>
          <w:tcPr>
            <w:tcW w:type="dxa" w:w="2880"/>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shd w:val="clear" w:color="auto" w:fill="F5F8FC"/>
          </w:tcPr>
          <w:p>
            <w:pPr>
              <w:keepLines/>
              <w:spacing w:after="0"/>
            </w:pPr>
            <w:r/>
            <w:r>
              <w:rPr>
                <w:rFonts w:ascii="Arial" w:hAnsi="Arial"/>
                <w:b/>
                <w:color w:val="111827"/>
                <w:sz w:val="14"/>
              </w:rPr>
              <w:t>S42</w:t>
            </w:r>
          </w:p>
        </w:tc>
        <w:tc>
          <w:tcPr>
            <w:tcW w:type="dxa" w:w="2880"/>
            <w:shd w:val="clear" w:color="auto" w:fill="F5F8FC"/>
          </w:tcPr>
          <w:p>
            <w:pPr>
              <w:keepLines/>
              <w:spacing w:after="0"/>
            </w:pPr>
            <w:r/>
            <w:r>
              <w:rPr>
                <w:rFonts w:ascii="Arial" w:hAnsi="Arial"/>
                <w:b w:val="0"/>
                <w:color w:val="111827"/>
                <w:sz w:val="14"/>
              </w:rPr>
              <w:t>PDPC Guide on Managing and Notifying Data Breaches under the PDPA</w:t>
            </w:r>
          </w:p>
        </w:tc>
        <w:tc>
          <w:tcPr>
            <w:tcW w:type="dxa" w:w="2880"/>
            <w:shd w:val="clear" w:color="auto" w:fill="F5F8FC"/>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tcPr>
          <w:p>
            <w:pPr>
              <w:keepLines/>
              <w:spacing w:after="0"/>
            </w:pPr>
            <w:r/>
            <w:r>
              <w:rPr>
                <w:rFonts w:ascii="Arial" w:hAnsi="Arial"/>
                <w:b/>
                <w:color w:val="111827"/>
                <w:sz w:val="14"/>
              </w:rPr>
              <w:t>S43</w:t>
            </w:r>
          </w:p>
        </w:tc>
        <w:tc>
          <w:tcPr>
            <w:tcW w:type="dxa" w:w="2880"/>
          </w:tcPr>
          <w:p>
            <w:pPr>
              <w:keepLines/>
              <w:spacing w:after="0"/>
            </w:pPr>
            <w:r/>
            <w:r>
              <w:rPr>
                <w:rFonts w:ascii="Arial" w:hAnsi="Arial"/>
                <w:b w:val="0"/>
                <w:color w:val="111827"/>
                <w:sz w:val="14"/>
              </w:rPr>
              <w:t>OWASP Top 10 for LLM Applications</w:t>
            </w:r>
          </w:p>
        </w:tc>
        <w:tc>
          <w:tcPr>
            <w:tcW w:type="dxa" w:w="2880"/>
          </w:tcPr>
          <w:p>
            <w:pPr>
              <w:keepLines/>
              <w:spacing w:after="0"/>
            </w:pPr>
            <w:r/>
            <w:r>
              <w:rPr>
                <w:rFonts w:ascii="Arial" w:hAnsi="Arial"/>
                <w:b w:val="0"/>
                <w:color w:val="111827"/>
                <w:sz w:val="14"/>
              </w:rPr>
              <w:t>https://genai.owasp.org/llm-top-10/</w:t>
            </w:r>
          </w:p>
        </w:tc>
      </w:tr>
      <w:tr>
        <w:trPr>
          <w:cantSplit/>
        </w:trPr>
        <w:tc>
          <w:tcPr>
            <w:tcW w:type="dxa" w:w="2880"/>
            <w:shd w:val="clear" w:color="auto" w:fill="F5F8FC"/>
          </w:tcPr>
          <w:p>
            <w:pPr>
              <w:keepLines/>
              <w:spacing w:after="0"/>
            </w:pPr>
            <w:r/>
            <w:r>
              <w:rPr>
                <w:rFonts w:ascii="Arial" w:hAnsi="Arial"/>
                <w:b/>
                <w:color w:val="111827"/>
                <w:sz w:val="14"/>
              </w:rPr>
              <w:t>S44</w:t>
            </w:r>
          </w:p>
        </w:tc>
        <w:tc>
          <w:tcPr>
            <w:tcW w:type="dxa" w:w="2880"/>
            <w:shd w:val="clear" w:color="auto" w:fill="F5F8FC"/>
          </w:tcPr>
          <w:p>
            <w:pPr>
              <w:keepLines/>
              <w:spacing w:after="0"/>
            </w:pPr>
            <w:r/>
            <w:r>
              <w:rPr>
                <w:rFonts w:ascii="Arial" w:hAnsi="Arial"/>
                <w:b w:val="0"/>
                <w:color w:val="111827"/>
                <w:sz w:val="14"/>
              </w:rPr>
              <w:t>OWASP Top 10 for Agentic Applications (2026)</w:t>
            </w:r>
          </w:p>
        </w:tc>
        <w:tc>
          <w:tcPr>
            <w:tcW w:type="dxa" w:w="2880"/>
            <w:shd w:val="clear" w:color="auto" w:fill="F5F8FC"/>
          </w:tcPr>
          <w:p>
            <w:pPr>
              <w:keepLines/>
              <w:spacing w:after="0"/>
            </w:pPr>
            <w:r/>
            <w:r>
              <w:rPr>
                <w:rFonts w:ascii="Arial" w:hAnsi="Arial"/>
                <w:b w:val="0"/>
                <w:color w:val="111827"/>
                <w:sz w:val="14"/>
              </w:rPr>
              <w:t>https://genai.owasp.org/resource/owasp-top-10-for-agentic-applications-for-2026/</w:t>
            </w:r>
          </w:p>
        </w:tc>
      </w:tr>
      <w:tr>
        <w:trPr>
          <w:cantSplit/>
        </w:trPr>
        <w:tc>
          <w:tcPr>
            <w:tcW w:type="dxa" w:w="2880"/>
          </w:tcPr>
          <w:p>
            <w:pPr>
              <w:keepLines/>
              <w:spacing w:after="0"/>
            </w:pPr>
            <w:r/>
            <w:r>
              <w:rPr>
                <w:rFonts w:ascii="Arial" w:hAnsi="Arial"/>
                <w:b/>
                <w:color w:val="111827"/>
                <w:sz w:val="14"/>
              </w:rPr>
              <w:t>S45</w:t>
            </w:r>
          </w:p>
        </w:tc>
        <w:tc>
          <w:tcPr>
            <w:tcW w:type="dxa" w:w="2880"/>
          </w:tcPr>
          <w:p>
            <w:pPr>
              <w:keepLines/>
              <w:spacing w:after="0"/>
            </w:pPr>
            <w:r/>
            <w:r>
              <w:rPr>
                <w:rFonts w:ascii="Arial" w:hAnsi="Arial"/>
                <w:b w:val="0"/>
                <w:color w:val="111827"/>
                <w:sz w:val="14"/>
              </w:rPr>
              <w:t>NIST AI Risk Management Framework</w:t>
            </w:r>
          </w:p>
        </w:tc>
        <w:tc>
          <w:tcPr>
            <w:tcW w:type="dxa" w:w="2880"/>
          </w:tcPr>
          <w:p>
            <w:pPr>
              <w:keepLines/>
              <w:spacing w:after="0"/>
            </w:pPr>
            <w:r/>
            <w:r>
              <w:rPr>
                <w:rFonts w:ascii="Arial" w:hAnsi="Arial"/>
                <w:b w:val="0"/>
                <w:color w:val="111827"/>
                <w:sz w:val="14"/>
              </w:rPr>
              <w:t>https://www.nist.gov/itl/ai-risk-management-framework</w:t>
            </w:r>
          </w:p>
        </w:tc>
      </w:tr>
      <w:tr>
        <w:trPr>
          <w:cantSplit/>
        </w:trPr>
        <w:tc>
          <w:tcPr>
            <w:tcW w:type="dxa" w:w="2880"/>
            <w:shd w:val="clear" w:color="auto" w:fill="F5F8FC"/>
          </w:tcPr>
          <w:p>
            <w:pPr>
              <w:keepLines/>
              <w:spacing w:after="0"/>
            </w:pPr>
            <w:r/>
            <w:r>
              <w:rPr>
                <w:rFonts w:ascii="Arial" w:hAnsi="Arial"/>
                <w:b/>
                <w:color w:val="111827"/>
                <w:sz w:val="14"/>
              </w:rPr>
              <w:t>S46</w:t>
            </w:r>
          </w:p>
        </w:tc>
        <w:tc>
          <w:tcPr>
            <w:tcW w:type="dxa" w:w="2880"/>
            <w:shd w:val="clear" w:color="auto" w:fill="F5F8FC"/>
          </w:tcPr>
          <w:p>
            <w:pPr>
              <w:keepLines/>
              <w:spacing w:after="0"/>
            </w:pPr>
            <w:r/>
            <w:r>
              <w:rPr>
                <w:rFonts w:ascii="Arial" w:hAnsi="Arial"/>
                <w:b w:val="0"/>
                <w:color w:val="111827"/>
                <w:sz w:val="14"/>
              </w:rPr>
              <w:t>Moffatt v Air Canada, 2024 BCCRT 149</w:t>
            </w:r>
          </w:p>
        </w:tc>
        <w:tc>
          <w:tcPr>
            <w:tcW w:type="dxa" w:w="2880"/>
            <w:shd w:val="clear" w:color="auto" w:fill="F5F8FC"/>
          </w:tcPr>
          <w:p>
            <w:pPr>
              <w:keepLines/>
              <w:spacing w:after="0"/>
            </w:pPr>
            <w:r/>
            <w:r>
              <w:rPr>
                <w:rFonts w:ascii="Arial" w:hAnsi="Arial"/>
                <w:b w:val="0"/>
                <w:color w:val="111827"/>
                <w:sz w:val="14"/>
              </w:rPr>
              <w:t>https://www.canlii.org/en/bc/bccrt/doc/2024/2024bccrt149/2024bccrt149.html</w:t>
            </w:r>
          </w:p>
        </w:tc>
      </w:tr>
      <w:tr>
        <w:trPr>
          <w:cantSplit/>
        </w:trPr>
        <w:tc>
          <w:tcPr>
            <w:tcW w:type="dxa" w:w="2880"/>
          </w:tcPr>
          <w:p>
            <w:pPr>
              <w:keepLines/>
              <w:spacing w:after="0"/>
            </w:pPr>
            <w:r/>
            <w:r>
              <w:rPr>
                <w:rFonts w:ascii="Arial" w:hAnsi="Arial"/>
                <w:b/>
                <w:color w:val="111827"/>
                <w:sz w:val="14"/>
              </w:rPr>
              <w:t>S47</w:t>
            </w:r>
          </w:p>
        </w:tc>
        <w:tc>
          <w:tcPr>
            <w:tcW w:type="dxa" w:w="2880"/>
          </w:tcPr>
          <w:p>
            <w:pPr>
              <w:keepLines/>
              <w:spacing w:after="0"/>
            </w:pPr>
            <w:r/>
            <w:r>
              <w:rPr>
                <w:rFonts w:ascii="Arial" w:hAnsi="Arial"/>
                <w:b w:val="0"/>
                <w:color w:val="111827"/>
                <w:sz w:val="14"/>
              </w:rPr>
              <w:t>Replit — securing vibe coding after an agent deleted a database (Jul 2025)</w:t>
            </w:r>
          </w:p>
        </w:tc>
        <w:tc>
          <w:tcPr>
            <w:tcW w:type="dxa" w:w="2880"/>
          </w:tcPr>
          <w:p>
            <w:pPr>
              <w:keepLines/>
              <w:spacing w:after="0"/>
            </w:pPr>
            <w:r/>
            <w:r>
              <w:rPr>
                <w:rFonts w:ascii="Arial" w:hAnsi="Arial"/>
                <w:b w:val="0"/>
                <w:color w:val="111827"/>
                <w:sz w:val="14"/>
              </w:rPr>
              <w:t>https://replit.com/blog/doubling-down-on-our-commitment-to-secure-vibe-coding</w:t>
            </w:r>
          </w:p>
        </w:tc>
      </w:tr>
      <w:tr>
        <w:trPr>
          <w:cantSplit/>
        </w:trPr>
        <w:tc>
          <w:tcPr>
            <w:tcW w:type="dxa" w:w="2880"/>
            <w:shd w:val="clear" w:color="auto" w:fill="F5F8FC"/>
          </w:tcPr>
          <w:p>
            <w:pPr>
              <w:keepLines/>
              <w:spacing w:after="0"/>
            </w:pPr>
            <w:r/>
            <w:r>
              <w:rPr>
                <w:rFonts w:ascii="Arial" w:hAnsi="Arial"/>
                <w:b/>
                <w:color w:val="111827"/>
                <w:sz w:val="14"/>
              </w:rPr>
              <w:t>S48</w:t>
            </w:r>
          </w:p>
        </w:tc>
        <w:tc>
          <w:tcPr>
            <w:tcW w:type="dxa" w:w="2880"/>
            <w:shd w:val="clear" w:color="auto" w:fill="F5F8FC"/>
          </w:tcPr>
          <w:p>
            <w:pPr>
              <w:keepLines/>
              <w:spacing w:after="0"/>
            </w:pPr>
            <w:r/>
            <w:r>
              <w:rPr>
                <w:rFonts w:ascii="Arial" w:hAnsi="Arial"/>
                <w:b w:val="0"/>
                <w:color w:val="111827"/>
                <w:sz w:val="14"/>
              </w:rPr>
              <w:t>WEF — Future of Jobs Report 2025</w:t>
            </w:r>
          </w:p>
        </w:tc>
        <w:tc>
          <w:tcPr>
            <w:tcW w:type="dxa" w:w="2880"/>
            <w:shd w:val="clear" w:color="auto" w:fill="F5F8FC"/>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tcPr>
          <w:p>
            <w:pPr>
              <w:keepLines/>
              <w:spacing w:after="0"/>
            </w:pPr>
            <w:r/>
            <w:r>
              <w:rPr>
                <w:rFonts w:ascii="Arial" w:hAnsi="Arial"/>
                <w:b/>
                <w:color w:val="111827"/>
                <w:sz w:val="14"/>
              </w:rPr>
              <w:t>S49</w:t>
            </w:r>
          </w:p>
        </w:tc>
        <w:tc>
          <w:tcPr>
            <w:tcW w:type="dxa" w:w="2880"/>
          </w:tcPr>
          <w:p>
            <w:pPr>
              <w:keepLines/>
              <w:spacing w:after="0"/>
            </w:pPr>
            <w:r/>
            <w:r>
              <w:rPr>
                <w:rFonts w:ascii="Arial" w:hAnsi="Arial"/>
                <w:b w:val="0"/>
                <w:color w:val="111827"/>
                <w:sz w:val="14"/>
              </w:rPr>
              <w:t>Anthropic — the Anthropic Economic Index</w:t>
            </w:r>
          </w:p>
        </w:tc>
        <w:tc>
          <w:tcPr>
            <w:tcW w:type="dxa" w:w="2880"/>
          </w:tcPr>
          <w:p>
            <w:pPr>
              <w:keepLines/>
              <w:spacing w:after="0"/>
            </w:pPr>
            <w:r/>
            <w:r>
              <w:rPr>
                <w:rFonts w:ascii="Arial" w:hAnsi="Arial"/>
                <w:b w:val="0"/>
                <w:color w:val="111827"/>
                <w:sz w:val="14"/>
              </w:rPr>
              <w:t>https://www.anthropic.com/news/the-anthropic-economic-index</w:t>
            </w:r>
          </w:p>
        </w:tc>
      </w:tr>
      <w:tr>
        <w:trPr>
          <w:cantSplit/>
        </w:trPr>
        <w:tc>
          <w:tcPr>
            <w:tcW w:type="dxa" w:w="2880"/>
            <w:shd w:val="clear" w:color="auto" w:fill="F5F8FC"/>
          </w:tcPr>
          <w:p>
            <w:pPr>
              <w:keepLines/>
              <w:spacing w:after="0"/>
            </w:pPr>
            <w:r/>
            <w:r>
              <w:rPr>
                <w:rFonts w:ascii="Arial" w:hAnsi="Arial"/>
                <w:b/>
                <w:color w:val="111827"/>
                <w:sz w:val="14"/>
              </w:rPr>
              <w:t>S50</w:t>
            </w:r>
          </w:p>
        </w:tc>
        <w:tc>
          <w:tcPr>
            <w:tcW w:type="dxa" w:w="2880"/>
            <w:shd w:val="clear" w:color="auto" w:fill="F5F8FC"/>
          </w:tcPr>
          <w:p>
            <w:pPr>
              <w:keepLines/>
              <w:spacing w:after="0"/>
            </w:pPr>
            <w:r/>
            <w:r>
              <w:rPr>
                <w:rFonts w:ascii="Arial" w:hAnsi="Arial"/>
                <w:b w:val="0"/>
                <w:color w:val="111827"/>
                <w:sz w:val="14"/>
              </w:rPr>
              <w:t>Anthropic — Claude Code sandboxing</w:t>
            </w:r>
          </w:p>
        </w:tc>
        <w:tc>
          <w:tcPr>
            <w:tcW w:type="dxa" w:w="2880"/>
            <w:shd w:val="clear" w:color="auto" w:fill="F5F8FC"/>
          </w:tcPr>
          <w:p>
            <w:pPr>
              <w:keepLines/>
              <w:spacing w:after="0"/>
            </w:pPr>
            <w:r/>
            <w:r>
              <w:rPr>
                <w:rFonts w:ascii="Arial" w:hAnsi="Arial"/>
                <w:b w:val="0"/>
                <w:color w:val="111827"/>
                <w:sz w:val="14"/>
              </w:rPr>
              <w:t>https://www.anthropic.com/engineering/claude-code-sandboxing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