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4.0</w:t>
      </w:r>
    </w:p>
    <w:p>
      <w:r>
        <w:br w:type="page"/>
      </w:r>
    </w:p>
    <w:p>
      <w:pPr>
        <w:pStyle w:val="Heading1"/>
      </w:pPr>
      <w:r>
        <w:t>Document Version Control Record</w:t>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 — Core Principles and Ethical Challenges in Generative AI.</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generative-AI and autonomous-agent security; five activities and revised assessments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practice, PDPA and organisational checklists, human approval, skill/plugin controls and enhanced visuals.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Rebuilt as a 207-slide evidence-grounded progression from AI history to product boundaries, cases, controls and governance. Activities reordered; unverified claims removed.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(8-hour) course with three topics mapped to LO1/LO2/LO3: generative and agentic AI concepts, prompt engineering on the Hermes agent with MiniMax, and AI-agent governance and security. No-code activities on ready-made websites and chatbots; Practical assessment is reflection on the activities. TSC K/A text unchanged.</w:t>
            </w:r>
          </w:p>
        </w:tc>
        <w:tc>
          <w:tcPr>
            <w:tcW w:type="dxa" w:w="2160"/>
          </w:tcPr>
          <w:p>
            <w:r/>
            <w:r>
              <w:rPr>
                <w:sz w:val="19"/>
              </w:rPr>
              <w:t>Dr Alfred Ang</w:t>
            </w:r>
          </w:p>
        </w:tc>
      </w:tr>
    </w:tbl>
    <w:p>
      <w:r>
        <w:br w:type="page"/>
      </w:r>
    </w:p>
    <w:p>
      <w:pPr>
        <w:pStyle w:val="Heading1"/>
      </w:pPr>
      <w:r>
        <w:t>Table of Contents</w:t>
      </w:r>
    </w:p>
    <w:p>
      <w:pPr>
        <w:spacing w:after="120"/>
      </w:pPr>
      <w:r>
        <w:rPr>
          <w:rFonts w:ascii="Arial" w:hAnsi="Arial"/>
          <w:b w:val="0"/>
          <w:color w:val="555B66"/>
          <w:sz w:val="19"/>
        </w:rPr>
        <w:t>Right-click and choose 'Update Field' to refresh page numbers.</w:t>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r>
        <w:br w:type="page"/>
      </w:r>
    </w:p>
    <w:p>
      <w:pPr>
        <w:pStyle w:val="Heading1"/>
      </w:pPr>
      <w:r>
        <w:t>1. Course Overview</w:t>
      </w:r>
    </w:p>
    <w:p>
      <w:pPr>
        <w:spacing w:after="120"/>
      </w:pPr>
      <w:r>
        <w:rPr>
          <w:rFonts w:ascii="Arial" w:hAnsi="Arial"/>
          <w:b w:val="0"/>
          <w:color w:val="111827"/>
          <w:sz w:val="22"/>
        </w:rPr>
        <w:t>AI Security for Autonomous AI Agents is a 1 Day · 8 Hours WSQ course that introduces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one-to-one onto the three learning outcomes.</w:t>
      </w:r>
    </w:p>
    <w:p>
      <w:pPr>
        <w:spacing w:after="120"/>
      </w:pPr>
      <w:r>
        <w:rPr>
          <w:rFonts w:ascii="Arial" w:hAnsi="Arial"/>
          <w:b w:val="0"/>
          <w:color w:val="111827"/>
          <w:sz w:val="22"/>
        </w:rPr>
        <w:t>Topic 1 (LO1) explains how generative AI works and how it becomes agentic — the agentic loop, harness engineering, AI agents such as OpenClaw and Hermes, skills, tools and multi-agent systems. Topic 2 (LO2) covers prompt engineering and post-training, using the Hermes agent on a MiniMax model to analyse data and build presentations. Topic 3 (LO3) covers AI data governance, job impact and redesign, and the cybersecurity risks of autonomous agents, including a safe roll-out framework. Real, dated examples and clearly labelled simulations are grounded in current governance references such as the IMDA Model AI Governance Framework, Singapore's PDPA and PDPC guidance, and the OWASP Top 10 for LLM and Agentic Applications.</w:t>
      </w:r>
    </w:p>
    <w:p>
      <w:pPr>
        <w:pStyle w:val="Heading2"/>
      </w:pPr>
      <w:r>
        <w:t>Skills Framework Alignment</w:t>
      </w:r>
    </w:p>
    <w:tbl>
      <w:tblPr>
        <w:tblStyle w:val="TableGrid"/>
        <w:tblW w:type="auto" w:w="0"/>
        <w:tblLook w:firstColumn="1" w:firstRow="1" w:lastColumn="0" w:lastRow="0" w:noHBand="0" w:noVBand="1" w:val="04A0"/>
      </w:tblPr>
      <w:tblGrid>
        <w:gridCol w:w="4320"/>
        <w:gridCol w:w="4320"/>
      </w:tblGrid>
      <w:tr>
        <w:trPr>
          <w:cantSplit/>
        </w:trPr>
        <w:tc>
          <w:tcPr>
            <w:tcW w:type="dxa" w:w="2736"/>
            <w:shd w:val="clear" w:color="auto" w:fill="1F6FEB"/>
          </w:tcPr>
          <w:p>
            <w:pPr>
              <w:keepNext/>
              <w:keepLines/>
            </w:pPr>
            <w:r/>
            <w:r>
              <w:rPr>
                <w:rFonts w:ascii="Arial" w:hAnsi="Arial"/>
                <w:b/>
                <w:color w:val="FFFFFF"/>
                <w:sz w:val="20"/>
              </w:rPr>
              <w:t>Element</w:t>
            </w:r>
          </w:p>
        </w:tc>
        <w:tc>
          <w:tcPr>
            <w:tcW w:type="dxa" w:w="7560"/>
            <w:shd w:val="clear" w:color="auto" w:fill="1F6FEB"/>
          </w:tcPr>
          <w:p>
            <w:pPr>
              <w:keepNext/>
              <w:keepLines/>
            </w:pPr>
            <w:r/>
            <w:r>
              <w:rPr>
                <w:rFonts w:ascii="Arial" w:hAnsi="Arial"/>
                <w:b/>
                <w:color w:val="FFFFFF"/>
                <w:sz w:val="20"/>
              </w:rPr>
              <w:t>Detail</w:t>
            </w:r>
          </w:p>
        </w:tc>
      </w:tr>
      <w:tr>
        <w:trPr>
          <w:cantSplit/>
        </w:trPr>
        <w:tc>
          <w:tcPr>
            <w:tcW w:type="dxa" w:w="2736"/>
          </w:tcPr>
          <w:p>
            <w:pPr>
              <w:keepNext/>
              <w:keepLines/>
            </w:pPr>
            <w:r/>
            <w:r>
              <w:rPr>
                <w:rFonts w:ascii="Arial" w:hAnsi="Arial"/>
                <w:b/>
                <w:sz w:val="19"/>
              </w:rPr>
              <w:t>TSC Title</w:t>
            </w:r>
          </w:p>
        </w:tc>
        <w:tc>
          <w:tcPr>
            <w:tcW w:type="dxa" w:w="7560"/>
          </w:tcPr>
          <w:p>
            <w:pPr>
              <w:keepNext/>
              <w:keepLines/>
            </w:pPr>
            <w:r/>
            <w:r>
              <w:rPr>
                <w:rFonts w:ascii="Arial" w:hAnsi="Arial"/>
                <w:b w:val="0"/>
                <w:sz w:val="19"/>
              </w:rPr>
              <w:t>Generative AI Principles and Applications</w:t>
            </w:r>
          </w:p>
        </w:tc>
      </w:tr>
      <w:tr>
        <w:trPr>
          <w:cantSplit/>
        </w:trPr>
        <w:tc>
          <w:tcPr>
            <w:tcW w:type="dxa" w:w="2736"/>
          </w:tcPr>
          <w:p>
            <w:pPr>
              <w:keepNext/>
              <w:keepLines/>
            </w:pPr>
            <w:r/>
            <w:r>
              <w:rPr>
                <w:rFonts w:ascii="Arial" w:hAnsi="Arial"/>
                <w:b/>
                <w:sz w:val="19"/>
              </w:rPr>
              <w:t>TSC Code</w:t>
            </w:r>
          </w:p>
        </w:tc>
        <w:tc>
          <w:tcPr>
            <w:tcW w:type="dxa" w:w="7560"/>
          </w:tcPr>
          <w:p>
            <w:pPr>
              <w:keepNext/>
              <w:keepLines/>
            </w:pPr>
            <w:r/>
            <w:r>
              <w:rPr>
                <w:rFonts w:ascii="Arial" w:hAnsi="Arial"/>
                <w:b w:val="0"/>
                <w:sz w:val="19"/>
              </w:rPr>
              <w:t>ICT-INT-0052-1.1</w:t>
            </w:r>
          </w:p>
        </w:tc>
      </w:tr>
      <w:tr>
        <w:trPr>
          <w:cantSplit/>
        </w:trPr>
        <w:tc>
          <w:tcPr>
            <w:tcW w:type="dxa" w:w="2736"/>
          </w:tcPr>
          <w:p>
            <w:pPr>
              <w:keepNext/>
              <w:keepLines/>
            </w:pPr>
            <w:r/>
            <w:r>
              <w:rPr>
                <w:rFonts w:ascii="Arial" w:hAnsi="Arial"/>
                <w:b/>
                <w:sz w:val="19"/>
              </w:rPr>
              <w:t>Proficiency Level</w:t>
            </w:r>
          </w:p>
        </w:tc>
        <w:tc>
          <w:tcPr>
            <w:tcW w:type="dxa" w:w="7560"/>
          </w:tcPr>
          <w:p>
            <w:pPr>
              <w:keepNext/>
              <w:keepLines/>
            </w:pPr>
            <w:r/>
            <w:r>
              <w:rPr>
                <w:rFonts w:ascii="Arial" w:hAnsi="Arial"/>
                <w:b w:val="0"/>
                <w:sz w:val="19"/>
              </w:rPr>
              <w:t>Level 1</w:t>
            </w:r>
          </w:p>
        </w:tc>
      </w:tr>
      <w:tr>
        <w:trPr>
          <w:cantSplit/>
        </w:trPr>
        <w:tc>
          <w:tcPr>
            <w:tcW w:type="dxa" w:w="2736"/>
          </w:tcPr>
          <w:p>
            <w:pPr>
              <w:keepNext/>
              <w:keepLines/>
            </w:pPr>
            <w:r/>
            <w:r>
              <w:rPr>
                <w:rFonts w:ascii="Arial" w:hAnsi="Arial"/>
                <w:b/>
                <w:sz w:val="19"/>
              </w:rPr>
              <w:t>Course Code</w:t>
            </w:r>
          </w:p>
        </w:tc>
        <w:tc>
          <w:tcPr>
            <w:tcW w:type="dxa" w:w="7560"/>
          </w:tcPr>
          <w:p>
            <w:pPr>
              <w:keepNext/>
              <w:keepLines/>
            </w:pPr>
            <w:r/>
            <w:r>
              <w:rPr>
                <w:rFonts w:ascii="Arial" w:hAnsi="Arial"/>
                <w:b w:val="0"/>
                <w:sz w:val="19"/>
              </w:rPr>
              <w:t>TGS-2025060473</w:t>
            </w:r>
          </w:p>
        </w:tc>
      </w:tr>
      <w:tr>
        <w:trPr>
          <w:cantSplit/>
        </w:trPr>
        <w:tc>
          <w:tcPr>
            <w:tcW w:type="dxa" w:w="2736"/>
          </w:tcPr>
          <w:p>
            <w:pPr>
              <w:keepNext/>
              <w:keepLines/>
            </w:pPr>
            <w:r/>
            <w:r>
              <w:rPr>
                <w:rFonts w:ascii="Arial" w:hAnsi="Arial"/>
                <w:b/>
                <w:sz w:val="19"/>
              </w:rPr>
              <w:t>Duration</w:t>
            </w:r>
          </w:p>
        </w:tc>
        <w:tc>
          <w:tcPr>
            <w:tcW w:type="dxa" w:w="7560"/>
          </w:tcPr>
          <w:p>
            <w:pPr>
              <w:keepNext/>
              <w:keepLines/>
            </w:pPr>
            <w:r/>
            <w:r>
              <w:rPr>
                <w:rFonts w:ascii="Arial" w:hAnsi="Arial"/>
                <w:b w:val="0"/>
                <w:sz w:val="19"/>
              </w:rPr>
              <w:t>1 Day · 8 Hours</w:t>
            </w:r>
          </w:p>
        </w:tc>
      </w:tr>
      <w:tr>
        <w:trPr>
          <w:cantSplit/>
        </w:trPr>
        <w:tc>
          <w:tcPr>
            <w:tcW w:type="dxa" w:w="2736"/>
          </w:tcPr>
          <w:p>
            <w:pPr>
              <w:keepNext w:val="0"/>
              <w:keepLines/>
            </w:pPr>
            <w:r/>
            <w:r>
              <w:rPr>
                <w:rFonts w:ascii="Arial" w:hAnsi="Arial"/>
                <w:b/>
                <w:sz w:val="19"/>
              </w:rPr>
              <w:t>Delivery</w:t>
            </w:r>
          </w:p>
        </w:tc>
        <w:tc>
          <w:tcPr>
            <w:tcW w:type="dxa" w:w="7560"/>
          </w:tcPr>
          <w:p>
            <w:pPr>
              <w:keepNext w:val="0"/>
              <w:keepLines/>
            </w:pPr>
            <w:r/>
            <w:r>
              <w:rPr>
                <w:rFonts w:ascii="Arial" w:hAnsi="Arial"/>
                <w:b w:val="0"/>
                <w:sz w:val="19"/>
              </w:rPr>
              <w:t>Instructor-led classroom with facilitated case-study activities</w:t>
            </w:r>
          </w:p>
        </w:tc>
      </w:tr>
    </w:tbl>
    <w:p>
      <w:pPr>
        <w:spacing w:after="120"/>
      </w:pPr>
      <w:r>
        <w:rPr>
          <w:rFonts w:ascii="Arial" w:hAnsi="Arial"/>
          <w:b w:val="0"/>
          <w:color w:val="111827"/>
          <w:sz w:val="22"/>
        </w:rPr>
      </w:r>
    </w:p>
    <w:p>
      <w:pPr>
        <w:spacing w:after="120"/>
      </w:pPr>
      <w:r>
        <w:rPr>
          <w:rFonts w:ascii="Arial" w:hAnsi="Arial"/>
          <w:b w:val="0"/>
          <w:color w:val="555B66"/>
          <w:sz w:val="19"/>
        </w:rPr>
        <w:t>Note: the accredited knowledge and ability statements below are reproduced verbatim. They are taught and assessed as accredited; AI security is the delivery context through which each statement is evidenced.</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LO</w:t>
            </w:r>
          </w:p>
        </w:tc>
        <w:tc>
          <w:tcPr>
            <w:tcW w:type="dxa" w:w="9288"/>
            <w:shd w:val="clear" w:color="auto" w:fill="1F6FEB"/>
          </w:tcPr>
          <w:p>
            <w:pPr>
              <w:keepNext/>
              <w:keepLines/>
            </w:pPr>
            <w:r/>
            <w:r>
              <w:rPr>
                <w:rFonts w:ascii="Arial" w:hAnsi="Arial"/>
                <w:b/>
                <w:color w:val="FFFFFF"/>
                <w:sz w:val="20"/>
              </w:rPr>
              <w:t>Learning Outcome</w:t>
            </w:r>
          </w:p>
        </w:tc>
      </w:tr>
      <w:tr>
        <w:trPr>
          <w:cantSplit/>
        </w:trPr>
        <w:tc>
          <w:tcPr>
            <w:tcW w:type="dxa" w:w="1008"/>
          </w:tcPr>
          <w:p>
            <w:pPr>
              <w:keepNext/>
              <w:keepLines/>
            </w:pPr>
            <w:r/>
            <w:r>
              <w:rPr>
                <w:rFonts w:ascii="Arial" w:hAnsi="Arial"/>
                <w:b/>
                <w:sz w:val="19"/>
              </w:rPr>
              <w:t>LO1</w:t>
            </w:r>
          </w:p>
        </w:tc>
        <w:tc>
          <w:tcPr>
            <w:tcW w:type="dxa" w:w="9288"/>
          </w:tcPr>
          <w:p>
            <w:pPr>
              <w:keepNext/>
              <w:keepLines/>
            </w:pPr>
            <w:r/>
            <w:r>
              <w:rPr>
                <w:rFonts w:ascii="Arial" w:hAnsi="Arial"/>
                <w:b w:val="0"/>
                <w:sz w:val="19"/>
              </w:rPr>
              <w:t>Demonstrate generative AI concepts and applications relevant to customer service and hospitality management.</w:t>
            </w:r>
          </w:p>
        </w:tc>
      </w:tr>
      <w:tr>
        <w:trPr>
          <w:cantSplit/>
        </w:trPr>
        <w:tc>
          <w:tcPr>
            <w:tcW w:type="dxa" w:w="1008"/>
          </w:tcPr>
          <w:p>
            <w:pPr>
              <w:keepNext/>
              <w:keepLines/>
            </w:pPr>
            <w:r/>
            <w:r>
              <w:rPr>
                <w:rFonts w:ascii="Arial" w:hAnsi="Arial"/>
                <w:b/>
                <w:sz w:val="19"/>
              </w:rPr>
              <w:t>LO2</w:t>
            </w:r>
          </w:p>
        </w:tc>
        <w:tc>
          <w:tcPr>
            <w:tcW w:type="dxa" w:w="9288"/>
          </w:tcPr>
          <w:p>
            <w:pPr>
              <w:keepNext/>
              <w:keepLines/>
            </w:pPr>
            <w:r/>
            <w:r>
              <w:rPr>
                <w:rFonts w:ascii="Arial" w:hAnsi="Arial"/>
                <w:b w:val="0"/>
                <w:sz w:val="19"/>
              </w:rPr>
              <w:t>Apply prompt engineering techniques and analyse output variations to improve generative AI performance in service settings.</w:t>
            </w:r>
          </w:p>
        </w:tc>
      </w:tr>
      <w:tr>
        <w:trPr>
          <w:cantSplit/>
        </w:trPr>
        <w:tc>
          <w:tcPr>
            <w:tcW w:type="dxa" w:w="1008"/>
          </w:tcPr>
          <w:p>
            <w:pPr>
              <w:keepNext w:val="0"/>
              <w:keepLines/>
            </w:pPr>
            <w:r/>
            <w:r>
              <w:rPr>
                <w:rFonts w:ascii="Arial" w:hAnsi="Arial"/>
                <w:b/>
                <w:sz w:val="19"/>
              </w:rPr>
              <w:t>LO3</w:t>
            </w:r>
          </w:p>
        </w:tc>
        <w:tc>
          <w:tcPr>
            <w:tcW w:type="dxa" w:w="9288"/>
          </w:tcPr>
          <w:p>
            <w:pPr>
              <w:keepNext w:val="0"/>
              <w:keepLines/>
            </w:pPr>
            <w:r/>
            <w:r>
              <w:rPr>
                <w:rFonts w:ascii="Arial" w:hAnsi="Arial"/>
                <w:b w:val="0"/>
                <w:sz w:val="19"/>
              </w:rPr>
              <w:t>Identify ethical risks and analyse bias in AI-generated content used in customer engagement.</w:t>
            </w:r>
          </w:p>
        </w:tc>
      </w:tr>
    </w:tbl>
    <w:p>
      <w:pPr>
        <w:pStyle w:val="Heading2"/>
      </w:pPr>
      <w:r>
        <w:t>Knowledge Statements (assessed by the Written Assessment)</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Knowledge statement</w:t>
            </w:r>
          </w:p>
        </w:tc>
      </w:tr>
      <w:tr>
        <w:trPr>
          <w:cantSplit/>
        </w:trPr>
        <w:tc>
          <w:tcPr>
            <w:tcW w:type="dxa" w:w="1008"/>
          </w:tcPr>
          <w:p>
            <w:pPr>
              <w:keepNext/>
              <w:keepLines/>
            </w:pPr>
            <w:r/>
            <w:r>
              <w:rPr>
                <w:rFonts w:ascii="Arial" w:hAnsi="Arial"/>
                <w:b/>
                <w:sz w:val="19"/>
              </w:rPr>
              <w:t>K1</w:t>
            </w:r>
          </w:p>
        </w:tc>
        <w:tc>
          <w:tcPr>
            <w:tcW w:type="dxa" w:w="9288"/>
          </w:tcPr>
          <w:p>
            <w:pPr>
              <w:keepNext/>
              <w:keepLines/>
            </w:pPr>
            <w:r/>
            <w:r>
              <w:rPr>
                <w:rFonts w:ascii="Arial" w:hAnsi="Arial"/>
                <w:b w:val="0"/>
                <w:sz w:val="19"/>
              </w:rPr>
              <w:t>Importance of data quality, preprocessing, model pipeline and model training (e.g., impact of data bias from training data)</w:t>
            </w:r>
          </w:p>
        </w:tc>
      </w:tr>
      <w:tr>
        <w:trPr>
          <w:cantSplit/>
        </w:trPr>
        <w:tc>
          <w:tcPr>
            <w:tcW w:type="dxa" w:w="1008"/>
          </w:tcPr>
          <w:p>
            <w:pPr>
              <w:keepNext/>
              <w:keepLines/>
            </w:pPr>
            <w:r/>
            <w:r>
              <w:rPr>
                <w:rFonts w:ascii="Arial" w:hAnsi="Arial"/>
                <w:b/>
                <w:sz w:val="19"/>
              </w:rPr>
              <w:t>K2</w:t>
            </w:r>
          </w:p>
        </w:tc>
        <w:tc>
          <w:tcPr>
            <w:tcW w:type="dxa" w:w="9288"/>
          </w:tcPr>
          <w:p>
            <w:pPr>
              <w:keepNext/>
              <w:keepLines/>
            </w:pPr>
            <w:r/>
            <w:r>
              <w:rPr>
                <w:rFonts w:ascii="Arial" w:hAnsi="Arial"/>
                <w:b w:val="0"/>
                <w:sz w:val="19"/>
              </w:rPr>
              <w:t>Underlying principles, core concepts and theories governing generative AI</w:t>
            </w:r>
          </w:p>
        </w:tc>
      </w:tr>
      <w:tr>
        <w:trPr>
          <w:cantSplit/>
        </w:trPr>
        <w:tc>
          <w:tcPr>
            <w:tcW w:type="dxa" w:w="1008"/>
          </w:tcPr>
          <w:p>
            <w:pPr>
              <w:keepNext/>
              <w:keepLines/>
            </w:pPr>
            <w:r/>
            <w:r>
              <w:rPr>
                <w:rFonts w:ascii="Arial" w:hAnsi="Arial"/>
                <w:b/>
                <w:sz w:val="19"/>
              </w:rPr>
              <w:t>K3</w:t>
            </w:r>
          </w:p>
        </w:tc>
        <w:tc>
          <w:tcPr>
            <w:tcW w:type="dxa" w:w="9288"/>
          </w:tcPr>
          <w:p>
            <w:pPr>
              <w:keepNext/>
              <w:keepLines/>
            </w:pPr>
            <w:r/>
            <w:r>
              <w:rPr>
                <w:rFonts w:ascii="Arial" w:hAnsi="Arial"/>
                <w:b w:val="0"/>
                <w:sz w:val="19"/>
              </w:rPr>
              <w:t>Difference between generative and discriminative models</w:t>
            </w:r>
          </w:p>
        </w:tc>
      </w:tr>
      <w:tr>
        <w:trPr>
          <w:cantSplit/>
        </w:trPr>
        <w:tc>
          <w:tcPr>
            <w:tcW w:type="dxa" w:w="1008"/>
          </w:tcPr>
          <w:p>
            <w:pPr>
              <w:keepNext/>
              <w:keepLines/>
            </w:pPr>
            <w:r/>
            <w:r>
              <w:rPr>
                <w:rFonts w:ascii="Arial" w:hAnsi="Arial"/>
                <w:b/>
                <w:sz w:val="19"/>
              </w:rPr>
              <w:t>K4</w:t>
            </w:r>
          </w:p>
        </w:tc>
        <w:tc>
          <w:tcPr>
            <w:tcW w:type="dxa" w:w="9288"/>
          </w:tcPr>
          <w:p>
            <w:pPr>
              <w:keepNext/>
              <w:keepLines/>
            </w:pPr>
            <w:r/>
            <w:r>
              <w:rPr>
                <w:rFonts w:ascii="Arial" w:hAnsi="Arial"/>
                <w:b w:val="0"/>
                <w:sz w:val="19"/>
              </w:rPr>
              <w:t>Impact of prompt engineering on the model outputs of generative AI</w:t>
            </w:r>
          </w:p>
        </w:tc>
      </w:tr>
      <w:tr>
        <w:trPr>
          <w:cantSplit/>
        </w:trPr>
        <w:tc>
          <w:tcPr>
            <w:tcW w:type="dxa" w:w="1008"/>
          </w:tcPr>
          <w:p>
            <w:pPr>
              <w:keepNext w:val="0"/>
              <w:keepLines/>
            </w:pPr>
            <w:r/>
            <w:r>
              <w:rPr>
                <w:rFonts w:ascii="Arial" w:hAnsi="Arial"/>
                <w:b/>
                <w:sz w:val="19"/>
              </w:rPr>
              <w:t>K5</w:t>
            </w:r>
          </w:p>
        </w:tc>
        <w:tc>
          <w:tcPr>
            <w:tcW w:type="dxa" w:w="9288"/>
          </w:tcPr>
          <w:p>
            <w:pPr>
              <w:keepNext w:val="0"/>
              <w:keepLines/>
            </w:pPr>
            <w:r/>
            <w:r>
              <w:rPr>
                <w:rFonts w:ascii="Arial" w:hAnsi="Arial"/>
                <w:b w:val="0"/>
                <w:sz w:val="19"/>
              </w:rPr>
              <w:t>Generative AI model workings, including training data, algorithms, and outputs</w:t>
            </w:r>
          </w:p>
        </w:tc>
      </w:tr>
    </w:tbl>
    <w:p>
      <w:pPr>
        <w:pStyle w:val="Heading2"/>
      </w:pPr>
      <w:r>
        <w:t>Ability Statements (assessed by the Practical Performance)</w:t>
      </w:r>
    </w:p>
    <w:tbl>
      <w:tblPr>
        <w:tblStyle w:val="TableGrid"/>
        <w:tblW w:type="auto" w:w="0"/>
        <w:tblLook w:firstColumn="1" w:firstRow="1" w:lastColumn="0" w:lastRow="0" w:noHBand="0" w:noVBand="1" w:val="04A0"/>
      </w:tblPr>
      <w:tblGrid>
        <w:gridCol w:w="4320"/>
        <w:gridCol w:w="4320"/>
      </w:tblGrid>
      <w:tr>
        <w:trPr>
          <w:cantSplit/>
        </w:trPr>
        <w:tc>
          <w:tcPr>
            <w:tcW w:type="dxa" w:w="1008"/>
            <w:shd w:val="clear" w:color="auto" w:fill="1F6FEB"/>
          </w:tcPr>
          <w:p>
            <w:pPr>
              <w:keepNext/>
              <w:keepLines/>
            </w:pPr>
            <w:r/>
            <w:r>
              <w:rPr>
                <w:rFonts w:ascii="Arial" w:hAnsi="Arial"/>
                <w:b/>
                <w:color w:val="FFFFFF"/>
                <w:sz w:val="20"/>
              </w:rPr>
              <w:t>Code</w:t>
            </w:r>
          </w:p>
        </w:tc>
        <w:tc>
          <w:tcPr>
            <w:tcW w:type="dxa" w:w="9288"/>
            <w:shd w:val="clear" w:color="auto" w:fill="1F6FEB"/>
          </w:tcPr>
          <w:p>
            <w:pPr>
              <w:keepNext/>
              <w:keepLines/>
            </w:pPr>
            <w:r/>
            <w:r>
              <w:rPr>
                <w:rFonts w:ascii="Arial" w:hAnsi="Arial"/>
                <w:b/>
                <w:color w:val="FFFFFF"/>
                <w:sz w:val="20"/>
              </w:rPr>
              <w:t>Ability statement</w:t>
            </w:r>
          </w:p>
        </w:tc>
      </w:tr>
      <w:tr>
        <w:trPr>
          <w:cantSplit/>
        </w:trPr>
        <w:tc>
          <w:tcPr>
            <w:tcW w:type="dxa" w:w="1008"/>
          </w:tcPr>
          <w:p>
            <w:pPr>
              <w:keepNext/>
              <w:keepLines/>
            </w:pPr>
            <w:r/>
            <w:r>
              <w:rPr>
                <w:rFonts w:ascii="Arial" w:hAnsi="Arial"/>
                <w:b/>
                <w:sz w:val="19"/>
              </w:rPr>
              <w:t>A1</w:t>
            </w:r>
          </w:p>
        </w:tc>
        <w:tc>
          <w:tcPr>
            <w:tcW w:type="dxa" w:w="9288"/>
          </w:tcPr>
          <w:p>
            <w:pPr>
              <w:keepNext/>
              <w:keepLines/>
            </w:pPr>
            <w:r/>
            <w:r>
              <w:rPr>
                <w:rFonts w:ascii="Arial" w:hAnsi="Arial"/>
                <w:b w:val="0"/>
                <w:sz w:val="19"/>
              </w:rPr>
              <w:t>Analyse limitations and potential biases in AI-generated content</w:t>
            </w:r>
          </w:p>
        </w:tc>
      </w:tr>
      <w:tr>
        <w:trPr>
          <w:cantSplit/>
        </w:trPr>
        <w:tc>
          <w:tcPr>
            <w:tcW w:type="dxa" w:w="1008"/>
          </w:tcPr>
          <w:p>
            <w:pPr>
              <w:keepNext/>
              <w:keepLines/>
            </w:pPr>
            <w:r/>
            <w:r>
              <w:rPr>
                <w:rFonts w:ascii="Arial" w:hAnsi="Arial"/>
                <w:b/>
                <w:sz w:val="19"/>
              </w:rPr>
              <w:t>A2</w:t>
            </w:r>
          </w:p>
        </w:tc>
        <w:tc>
          <w:tcPr>
            <w:tcW w:type="dxa" w:w="9288"/>
          </w:tcPr>
          <w:p>
            <w:pPr>
              <w:keepNext/>
              <w:keepLines/>
            </w:pPr>
            <w:r/>
            <w:r>
              <w:rPr>
                <w:rFonts w:ascii="Arial" w:hAnsi="Arial"/>
                <w:b w:val="0"/>
                <w:sz w:val="19"/>
              </w:rPr>
              <w:t>Identify the ethical implications and societal impact of AI-generated content</w:t>
            </w:r>
          </w:p>
        </w:tc>
      </w:tr>
      <w:tr>
        <w:trPr>
          <w:cantSplit/>
        </w:trPr>
        <w:tc>
          <w:tcPr>
            <w:tcW w:type="dxa" w:w="1008"/>
          </w:tcPr>
          <w:p>
            <w:pPr>
              <w:keepNext/>
              <w:keepLines/>
            </w:pPr>
            <w:r/>
            <w:r>
              <w:rPr>
                <w:rFonts w:ascii="Arial" w:hAnsi="Arial"/>
                <w:b/>
                <w:sz w:val="19"/>
              </w:rPr>
              <w:t>A3</w:t>
            </w:r>
          </w:p>
        </w:tc>
        <w:tc>
          <w:tcPr>
            <w:tcW w:type="dxa" w:w="9288"/>
          </w:tcPr>
          <w:p>
            <w:pPr>
              <w:keepNext/>
              <w:keepLines/>
            </w:pPr>
            <w:r/>
            <w:r>
              <w:rPr>
                <w:rFonts w:ascii="Arial" w:hAnsi="Arial"/>
                <w:b w:val="0"/>
                <w:sz w:val="19"/>
              </w:rPr>
              <w:t>Apply understanding of generative AI principles to use cases</w:t>
            </w:r>
          </w:p>
        </w:tc>
      </w:tr>
      <w:tr>
        <w:trPr>
          <w:cantSplit/>
        </w:trPr>
        <w:tc>
          <w:tcPr>
            <w:tcW w:type="dxa" w:w="1008"/>
          </w:tcPr>
          <w:p>
            <w:pPr>
              <w:keepNext/>
              <w:keepLines/>
            </w:pPr>
            <w:r/>
            <w:r>
              <w:rPr>
                <w:rFonts w:ascii="Arial" w:hAnsi="Arial"/>
                <w:b/>
                <w:sz w:val="19"/>
              </w:rPr>
              <w:t>A4</w:t>
            </w:r>
          </w:p>
        </w:tc>
        <w:tc>
          <w:tcPr>
            <w:tcW w:type="dxa" w:w="9288"/>
          </w:tcPr>
          <w:p>
            <w:pPr>
              <w:keepNext/>
              <w:keepLines/>
            </w:pPr>
            <w:r/>
            <w:r>
              <w:rPr>
                <w:rFonts w:ascii="Arial" w:hAnsi="Arial"/>
                <w:b w:val="0"/>
                <w:sz w:val="19"/>
              </w:rPr>
              <w:t>Demonstrate the use of generation AI in diverse applications (e.g., summarisation, inference, reasoning, transformation of content, augmentation of content)</w:t>
            </w:r>
          </w:p>
        </w:tc>
      </w:tr>
      <w:tr>
        <w:trPr>
          <w:cantSplit/>
        </w:trPr>
        <w:tc>
          <w:tcPr>
            <w:tcW w:type="dxa" w:w="1008"/>
          </w:tcPr>
          <w:p>
            <w:pPr>
              <w:keepNext w:val="0"/>
              <w:keepLines/>
            </w:pPr>
            <w:r/>
            <w:r>
              <w:rPr>
                <w:rFonts w:ascii="Arial" w:hAnsi="Arial"/>
                <w:b/>
                <w:sz w:val="19"/>
              </w:rPr>
              <w:t>A5</w:t>
            </w:r>
          </w:p>
        </w:tc>
        <w:tc>
          <w:tcPr>
            <w:tcW w:type="dxa" w:w="9288"/>
          </w:tcPr>
          <w:p>
            <w:pPr>
              <w:keepNext w:val="0"/>
              <w:keepLines/>
            </w:pPr>
            <w:r/>
            <w:r>
              <w:rPr>
                <w:rFonts w:ascii="Arial" w:hAnsi="Arial"/>
                <w:b w:val="0"/>
                <w:sz w:val="19"/>
              </w:rPr>
              <w:t>Analyse generative AI models' performance metrics and evaluate the influence of prompt variations</w:t>
            </w:r>
          </w:p>
        </w:tc>
      </w:tr>
    </w:tbl>
    <w:p>
      <w:r>
        <w:br w:type="page"/>
      </w:r>
    </w:p>
    <w:p>
      <w:pPr>
        <w:pStyle w:val="Heading1"/>
      </w:pPr>
      <w:r>
        <w:t>2. Course Schedule</w:t>
      </w:r>
    </w:p>
    <w:p>
      <w:pPr>
        <w:spacing w:after="120"/>
      </w:pPr>
      <w:r>
        <w:rPr>
          <w:rFonts w:ascii="Arial" w:hAnsi="Arial"/>
          <w:b w:val="0"/>
          <w:color w:val="555B66"/>
          <w:sz w:val="20"/>
        </w:rPr>
        <w:t>The training day runs 9:00am – 6:00pm and delivers 8 instructional hours. A 1-hour lunch break is excluded from instructional time; short tea breaks are counted within the day. The 1-hour assessment runs 6:00pm – 7:00pm.</w:t>
      </w:r>
    </w:p>
    <w:p>
      <w:pPr>
        <w:pStyle w:val="Heading2"/>
      </w:pPr>
      <w:r>
        <w:t>One-Day Schedule (Topics 1–3)</w:t>
      </w:r>
    </w:p>
    <w:p>
      <w:pPr>
        <w:spacing w:after="120"/>
      </w:pPr>
      <w:r>
        <w:rPr>
          <w:rFonts w:ascii="Arial" w:hAnsi="Arial"/>
          <w:b w:val="0"/>
          <w:color w:val="555B66"/>
          <w:sz w:val="19"/>
        </w:rPr>
        <w:t>Slides 1–124 of the trainer deck.</w:t>
      </w:r>
    </w:p>
    <w:tbl>
      <w:tblPr>
        <w:tblStyle w:val="TableGrid"/>
        <w:tblW w:type="auto" w:w="0"/>
        <w:tblLook w:firstColumn="1" w:firstRow="1" w:lastColumn="0" w:lastRow="0" w:noHBand="0" w:noVBand="1" w:val="04A0"/>
      </w:tblPr>
      <w:tblGrid>
        <w:gridCol w:w="2880"/>
        <w:gridCol w:w="2880"/>
        <w:gridCol w:w="2880"/>
      </w:tblGrid>
      <w:tr>
        <w:trPr>
          <w:cantSplit/>
        </w:trPr>
        <w:tc>
          <w:tcPr>
            <w:tcW w:type="dxa" w:w="1656"/>
            <w:shd w:val="clear" w:color="auto" w:fill="1F6FEB"/>
          </w:tcPr>
          <w:p>
            <w:pPr>
              <w:keepLines/>
            </w:pPr>
            <w:r/>
            <w:r>
              <w:rPr>
                <w:rFonts w:ascii="Arial" w:hAnsi="Arial"/>
                <w:b/>
                <w:color w:val="FFFFFF"/>
                <w:sz w:val="20"/>
              </w:rPr>
              <w:t>Time</w:t>
            </w:r>
          </w:p>
        </w:tc>
        <w:tc>
          <w:tcPr>
            <w:tcW w:type="dxa" w:w="7416"/>
            <w:shd w:val="clear" w:color="auto" w:fill="1F6FEB"/>
          </w:tcPr>
          <w:p>
            <w:pPr>
              <w:keepLines/>
            </w:pPr>
            <w:r/>
            <w:r>
              <w:rPr>
                <w:rFonts w:ascii="Arial" w:hAnsi="Arial"/>
                <w:b/>
                <w:color w:val="FFFFFF"/>
                <w:sz w:val="20"/>
              </w:rPr>
              <w:t>Topic / Activity</w:t>
            </w:r>
          </w:p>
        </w:tc>
        <w:tc>
          <w:tcPr>
            <w:tcW w:type="dxa" w:w="1224"/>
            <w:shd w:val="clear" w:color="auto" w:fill="1F6FEB"/>
          </w:tcPr>
          <w:p>
            <w:pPr>
              <w:keepLines/>
            </w:pPr>
            <w:r/>
            <w:r>
              <w:rPr>
                <w:rFonts w:ascii="Arial" w:hAnsi="Arial"/>
                <w:b/>
                <w:color w:val="FFFFFF"/>
                <w:sz w:val="20"/>
              </w:rPr>
              <w:t>Duration</w:t>
            </w:r>
          </w:p>
        </w:tc>
      </w:tr>
      <w:tr>
        <w:trPr>
          <w:cantSplit/>
        </w:trPr>
        <w:tc>
          <w:tcPr>
            <w:tcW w:type="dxa" w:w="1656"/>
            <w:shd w:val="clear" w:color="auto" w:fill="F2F4F7"/>
          </w:tcPr>
          <w:p>
            <w:pPr>
              <w:keepLines/>
            </w:pPr>
            <w:r/>
            <w:r>
              <w:rPr>
                <w:rFonts w:ascii="Arial" w:hAnsi="Arial"/>
                <w:b w:val="0"/>
                <w:sz w:val="19"/>
              </w:rPr>
              <w:t>9:00 – 9:20</w:t>
            </w:r>
          </w:p>
        </w:tc>
        <w:tc>
          <w:tcPr>
            <w:tcW w:type="dxa" w:w="7416"/>
            <w:shd w:val="clear" w:color="auto" w:fill="F2F4F7"/>
          </w:tcPr>
          <w:p>
            <w:pPr>
              <w:keepLines/>
            </w:pPr>
            <w:r/>
            <w:r>
              <w:rPr>
                <w:rFonts w:ascii="Arial" w:hAnsi="Arial"/>
                <w:b w:val="0"/>
                <w:sz w:val="19"/>
              </w:rPr>
              <w:t>Welcome, digital attendance, introductions, learning outcomes and ground rules</w:t>
            </w:r>
          </w:p>
        </w:tc>
        <w:tc>
          <w:tcPr>
            <w:tcW w:type="dxa" w:w="1224"/>
            <w:shd w:val="clear" w:color="auto" w:fill="F2F4F7"/>
          </w:tcPr>
          <w:p>
            <w:pPr>
              <w:keepLines/>
            </w:pPr>
            <w:r/>
            <w:r>
              <w:rPr>
                <w:rFonts w:ascii="Arial" w:hAnsi="Arial"/>
                <w:b w:val="0"/>
                <w:sz w:val="19"/>
              </w:rPr>
              <w:t>20 min</w:t>
            </w:r>
          </w:p>
        </w:tc>
      </w:tr>
      <w:tr>
        <w:trPr>
          <w:cantSplit/>
        </w:trPr>
        <w:tc>
          <w:tcPr>
            <w:tcW w:type="dxa" w:w="1656"/>
            <w:shd w:val="clear" w:color="auto" w:fill="E8F0FE"/>
          </w:tcPr>
          <w:p>
            <w:pPr>
              <w:keepLines/>
            </w:pPr>
            <w:r/>
            <w:r>
              <w:rPr>
                <w:rFonts w:ascii="Arial" w:hAnsi="Arial"/>
                <w:b w:val="0"/>
                <w:sz w:val="19"/>
              </w:rPr>
              <w:t>9:20 – 10:05</w:t>
            </w:r>
          </w:p>
        </w:tc>
        <w:tc>
          <w:tcPr>
            <w:tcW w:type="dxa" w:w="7416"/>
            <w:shd w:val="clear" w:color="auto" w:fill="E8F0FE"/>
          </w:tcPr>
          <w:p>
            <w:pPr>
              <w:keepLines/>
            </w:pPr>
            <w:r/>
            <w:r>
              <w:rPr>
                <w:rFonts w:ascii="Arial" w:hAnsi="Arial"/>
                <w:b w:val="0"/>
                <w:sz w:val="19"/>
              </w:rPr>
              <w:t>Topic 1: Brief history of AI 2023-2026; how generative AI works — autoregressive LLM, training and inference (K2, K5)</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8F0FE"/>
          </w:tcPr>
          <w:p>
            <w:pPr>
              <w:keepLines/>
            </w:pPr>
            <w:r/>
            <w:r>
              <w:rPr>
                <w:rFonts w:ascii="Arial" w:hAnsi="Arial"/>
                <w:b w:val="0"/>
                <w:sz w:val="19"/>
              </w:rPr>
              <w:t>10:05 – 10:45</w:t>
            </w:r>
          </w:p>
        </w:tc>
        <w:tc>
          <w:tcPr>
            <w:tcW w:type="dxa" w:w="7416"/>
            <w:shd w:val="clear" w:color="auto" w:fill="E8F0FE"/>
          </w:tcPr>
          <w:p>
            <w:pPr>
              <w:keepLines/>
            </w:pPr>
            <w:r/>
            <w:r>
              <w:rPr>
                <w:rFonts w:ascii="Arial" w:hAnsi="Arial"/>
                <w:b w:val="0"/>
                <w:sz w:val="19"/>
              </w:rPr>
              <w:t>Topic 1: Real generative-AI use cases (AI fashion models, AI video, Klarna); context engineering (K3, A3, A4)</w:t>
            </w:r>
          </w:p>
        </w:tc>
        <w:tc>
          <w:tcPr>
            <w:tcW w:type="dxa" w:w="1224"/>
            <w:shd w:val="clear" w:color="auto" w:fill="E8F0FE"/>
          </w:tcPr>
          <w:p>
            <w:pPr>
              <w:keepLines/>
            </w:pPr>
            <w:r/>
            <w:r>
              <w:rPr>
                <w:rFonts w:ascii="Arial" w:hAnsi="Arial"/>
                <w:b w:val="0"/>
                <w:sz w:val="19"/>
              </w:rPr>
              <w:t>40 min</w:t>
            </w:r>
          </w:p>
        </w:tc>
      </w:tr>
      <w:tr>
        <w:trPr>
          <w:cantSplit/>
        </w:trPr>
        <w:tc>
          <w:tcPr>
            <w:tcW w:type="dxa" w:w="1656"/>
            <w:shd w:val="clear" w:color="auto" w:fill="FDF3E3"/>
          </w:tcPr>
          <w:p>
            <w:pPr>
              <w:keepLines/>
            </w:pPr>
            <w:r/>
            <w:r>
              <w:rPr>
                <w:rFonts w:ascii="Arial" w:hAnsi="Arial"/>
                <w:b w:val="0"/>
                <w:sz w:val="19"/>
              </w:rPr>
              <w:t>10:45 – 11:00</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11:00 – 11:45</w:t>
            </w:r>
          </w:p>
        </w:tc>
        <w:tc>
          <w:tcPr>
            <w:tcW w:type="dxa" w:w="7416"/>
            <w:shd w:val="clear" w:color="auto" w:fill="E8F0FE"/>
          </w:tcPr>
          <w:p>
            <w:pPr>
              <w:keepLines/>
            </w:pPr>
            <w:r/>
            <w:r>
              <w:rPr>
                <w:rFonts w:ascii="Arial" w:hAnsi="Arial"/>
                <w:b w:val="0"/>
                <w:sz w:val="19"/>
              </w:rPr>
              <w:t>Topic 1: Agentic loop and harness engineering; AI agents, OpenClaw and Hermes, skills, tools and multi-agent systems (K2, K3)</w:t>
            </w:r>
          </w:p>
        </w:tc>
        <w:tc>
          <w:tcPr>
            <w:tcW w:type="dxa" w:w="1224"/>
            <w:shd w:val="clear" w:color="auto" w:fill="E8F0FE"/>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11:45 – 12:30</w:t>
            </w:r>
          </w:p>
        </w:tc>
        <w:tc>
          <w:tcPr>
            <w:tcW w:type="dxa" w:w="7416"/>
            <w:shd w:val="clear" w:color="auto" w:fill="E6F7F1"/>
          </w:tcPr>
          <w:p>
            <w:pPr>
              <w:keepLines/>
            </w:pPr>
            <w:r/>
            <w:r>
              <w:rPr>
                <w:rFonts w:ascii="Arial" w:hAnsi="Arial"/>
                <w:b w:val="0"/>
                <w:sz w:val="19"/>
              </w:rPr>
              <w:t>Activity 1: Talk to the TIA Support AI agent on WhatsApp and post reflections to the Pinboard; debrief (A2, A4)</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F3E3"/>
          </w:tcPr>
          <w:p>
            <w:pPr>
              <w:keepLines/>
            </w:pPr>
            <w:r/>
            <w:r>
              <w:rPr>
                <w:rFonts w:ascii="Arial" w:hAnsi="Arial"/>
                <w:b w:val="0"/>
                <w:sz w:val="19"/>
              </w:rPr>
              <w:t>12:30 – 1:30</w:t>
            </w:r>
          </w:p>
        </w:tc>
        <w:tc>
          <w:tcPr>
            <w:tcW w:type="dxa" w:w="7416"/>
            <w:shd w:val="clear" w:color="auto" w:fill="FDF3E3"/>
          </w:tcPr>
          <w:p>
            <w:pPr>
              <w:keepLines/>
            </w:pPr>
            <w:r/>
            <w:r>
              <w:rPr>
                <w:rFonts w:ascii="Arial" w:hAnsi="Arial"/>
                <w:b w:val="0"/>
                <w:sz w:val="19"/>
              </w:rPr>
              <w:t>Lunch break</w:t>
            </w:r>
          </w:p>
        </w:tc>
        <w:tc>
          <w:tcPr>
            <w:tcW w:type="dxa" w:w="1224"/>
            <w:shd w:val="clear" w:color="auto" w:fill="FDF3E3"/>
          </w:tcPr>
          <w:p>
            <w:pPr>
              <w:keepLines/>
            </w:pPr>
            <w:r/>
            <w:r>
              <w:rPr>
                <w:rFonts w:ascii="Arial" w:hAnsi="Arial"/>
                <w:b w:val="0"/>
                <w:sz w:val="19"/>
              </w:rPr>
              <w:t>60 min</w:t>
            </w:r>
          </w:p>
        </w:tc>
      </w:tr>
      <w:tr>
        <w:trPr>
          <w:cantSplit/>
        </w:trPr>
        <w:tc>
          <w:tcPr>
            <w:tcW w:type="dxa" w:w="1656"/>
            <w:shd w:val="clear" w:color="auto" w:fill="E8F0FE"/>
          </w:tcPr>
          <w:p>
            <w:pPr>
              <w:keepLines/>
            </w:pPr>
            <w:r/>
            <w:r>
              <w:rPr>
                <w:rFonts w:ascii="Arial" w:hAnsi="Arial"/>
                <w:b w:val="0"/>
                <w:sz w:val="19"/>
              </w:rPr>
              <w:t>1:30 – 1:45</w:t>
            </w:r>
          </w:p>
        </w:tc>
        <w:tc>
          <w:tcPr>
            <w:tcW w:type="dxa" w:w="7416"/>
            <w:shd w:val="clear" w:color="auto" w:fill="E8F0FE"/>
          </w:tcPr>
          <w:p>
            <w:pPr>
              <w:keepLines/>
            </w:pPr>
            <w:r/>
            <w:r>
              <w:rPr>
                <w:rFonts w:ascii="Arial" w:hAnsi="Arial"/>
                <w:b w:val="0"/>
                <w:sz w:val="19"/>
              </w:rPr>
              <w:t>Topic 1 summary: generative AI vs agentic AI vs AI agents</w:t>
            </w:r>
          </w:p>
        </w:tc>
        <w:tc>
          <w:tcPr>
            <w:tcW w:type="dxa" w:w="1224"/>
            <w:shd w:val="clear" w:color="auto" w:fill="E8F0FE"/>
          </w:tcPr>
          <w:p>
            <w:pPr>
              <w:keepLines/>
            </w:pPr>
            <w:r/>
            <w:r>
              <w:rPr>
                <w:rFonts w:ascii="Arial" w:hAnsi="Arial"/>
                <w:b w:val="0"/>
                <w:sz w:val="19"/>
              </w:rPr>
              <w:t>15 min</w:t>
            </w:r>
          </w:p>
        </w:tc>
      </w:tr>
      <w:tr>
        <w:trPr>
          <w:cantSplit/>
        </w:trPr>
        <w:tc>
          <w:tcPr>
            <w:tcW w:type="dxa" w:w="1656"/>
            <w:shd w:val="clear" w:color="auto" w:fill="E8F0FE"/>
          </w:tcPr>
          <w:p>
            <w:pPr>
              <w:keepLines/>
            </w:pPr>
            <w:r/>
            <w:r>
              <w:rPr>
                <w:rFonts w:ascii="Arial" w:hAnsi="Arial"/>
                <w:b w:val="0"/>
                <w:sz w:val="19"/>
              </w:rPr>
              <w:t>1:45 – 2:20</w:t>
            </w:r>
          </w:p>
        </w:tc>
        <w:tc>
          <w:tcPr>
            <w:tcW w:type="dxa" w:w="7416"/>
            <w:shd w:val="clear" w:color="auto" w:fill="E8F0FE"/>
          </w:tcPr>
          <w:p>
            <w:pPr>
              <w:keepLines/>
            </w:pPr>
            <w:r/>
            <w:r>
              <w:rPr>
                <w:rFonts w:ascii="Arial" w:hAnsi="Arial"/>
                <w:b w:val="0"/>
                <w:sz w:val="19"/>
              </w:rPr>
              <w:t>Topic 2: Install the Hermes agent on MiniMax M2.7; principles of prompt engineering, good vs bad prompts (K4, A5)</w:t>
            </w:r>
          </w:p>
        </w:tc>
        <w:tc>
          <w:tcPr>
            <w:tcW w:type="dxa" w:w="1224"/>
            <w:shd w:val="clear" w:color="auto" w:fill="E8F0FE"/>
          </w:tcPr>
          <w:p>
            <w:pPr>
              <w:keepLines/>
            </w:pPr>
            <w:r/>
            <w:r>
              <w:rPr>
                <w:rFonts w:ascii="Arial" w:hAnsi="Arial"/>
                <w:b w:val="0"/>
                <w:sz w:val="19"/>
              </w:rPr>
              <w:t>35 min</w:t>
            </w:r>
          </w:p>
        </w:tc>
      </w:tr>
      <w:tr>
        <w:trPr>
          <w:cantSplit/>
        </w:trPr>
        <w:tc>
          <w:tcPr>
            <w:tcW w:type="dxa" w:w="1656"/>
            <w:shd w:val="clear" w:color="auto" w:fill="E6F7F1"/>
          </w:tcPr>
          <w:p>
            <w:pPr>
              <w:keepLines/>
            </w:pPr>
            <w:r/>
            <w:r>
              <w:rPr>
                <w:rFonts w:ascii="Arial" w:hAnsi="Arial"/>
                <w:b w:val="0"/>
                <w:sz w:val="19"/>
              </w:rPr>
              <w:t>2:20 – 3:10</w:t>
            </w:r>
          </w:p>
        </w:tc>
        <w:tc>
          <w:tcPr>
            <w:tcW w:type="dxa" w:w="7416"/>
            <w:shd w:val="clear" w:color="auto" w:fill="E6F7F1"/>
          </w:tcPr>
          <w:p>
            <w:pPr>
              <w:keepLines/>
            </w:pPr>
            <w:r/>
            <w:r>
              <w:rPr>
                <w:rFonts w:ascii="Arial" w:hAnsi="Arial"/>
                <w:b w:val="0"/>
                <w:sz w:val="19"/>
              </w:rPr>
              <w:t>Activity 2 &amp; 3: Send prompts to analyse mock Excel data and build an animated PPT; compare good vs bad prompts (K4, A5)</w:t>
            </w:r>
          </w:p>
        </w:tc>
        <w:tc>
          <w:tcPr>
            <w:tcW w:type="dxa" w:w="1224"/>
            <w:shd w:val="clear" w:color="auto" w:fill="E6F7F1"/>
          </w:tcPr>
          <w:p>
            <w:pPr>
              <w:keepLines/>
            </w:pPr>
            <w:r/>
            <w:r>
              <w:rPr>
                <w:rFonts w:ascii="Arial" w:hAnsi="Arial"/>
                <w:b w:val="0"/>
                <w:sz w:val="19"/>
              </w:rPr>
              <w:t>50 min</w:t>
            </w:r>
          </w:p>
        </w:tc>
      </w:tr>
      <w:tr>
        <w:trPr>
          <w:cantSplit/>
        </w:trPr>
        <w:tc>
          <w:tcPr>
            <w:tcW w:type="dxa" w:w="1656"/>
            <w:shd w:val="clear" w:color="auto" w:fill="FDF3E3"/>
          </w:tcPr>
          <w:p>
            <w:pPr>
              <w:keepLines/>
            </w:pPr>
            <w:r/>
            <w:r>
              <w:rPr>
                <w:rFonts w:ascii="Arial" w:hAnsi="Arial"/>
                <w:b w:val="0"/>
                <w:sz w:val="19"/>
              </w:rPr>
              <w:t>3:10 – 3:25</w:t>
            </w:r>
          </w:p>
        </w:tc>
        <w:tc>
          <w:tcPr>
            <w:tcW w:type="dxa" w:w="7416"/>
            <w:shd w:val="clear" w:color="auto" w:fill="FDF3E3"/>
          </w:tcPr>
          <w:p>
            <w:pPr>
              <w:keepLines/>
            </w:pPr>
            <w:r/>
            <w:r>
              <w:rPr>
                <w:rFonts w:ascii="Arial" w:hAnsi="Arial"/>
                <w:b w:val="0"/>
                <w:sz w:val="19"/>
              </w:rPr>
              <w:t>Tea break</w:t>
            </w:r>
          </w:p>
        </w:tc>
        <w:tc>
          <w:tcPr>
            <w:tcW w:type="dxa" w:w="1224"/>
            <w:shd w:val="clear" w:color="auto" w:fill="FDF3E3"/>
          </w:tcPr>
          <w:p>
            <w:pPr>
              <w:keepLines/>
            </w:pPr>
            <w:r/>
            <w:r>
              <w:rPr>
                <w:rFonts w:ascii="Arial" w:hAnsi="Arial"/>
                <w:b w:val="0"/>
                <w:sz w:val="19"/>
              </w:rPr>
              <w:t>15 min</w:t>
            </w:r>
          </w:p>
        </w:tc>
      </w:tr>
      <w:tr>
        <w:trPr>
          <w:cantSplit/>
        </w:trPr>
        <w:tc>
          <w:tcPr>
            <w:tcW w:type="dxa" w:w="1656"/>
            <w:shd w:val="clear" w:color="auto" w:fill="E6F7F1"/>
          </w:tcPr>
          <w:p>
            <w:pPr>
              <w:keepLines/>
            </w:pPr>
            <w:r/>
            <w:r>
              <w:rPr>
                <w:rFonts w:ascii="Arial" w:hAnsi="Arial"/>
                <w:b w:val="0"/>
                <w:sz w:val="19"/>
              </w:rPr>
              <w:t>3:25 – 3:50</w:t>
            </w:r>
          </w:p>
        </w:tc>
        <w:tc>
          <w:tcPr>
            <w:tcW w:type="dxa" w:w="7416"/>
            <w:shd w:val="clear" w:color="auto" w:fill="E6F7F1"/>
          </w:tcPr>
          <w:p>
            <w:pPr>
              <w:keepLines/>
            </w:pPr>
            <w:r/>
            <w:r>
              <w:rPr>
                <w:rFonts w:ascii="Arial" w:hAnsi="Arial"/>
                <w:b w:val="0"/>
                <w:sz w:val="19"/>
              </w:rPr>
              <w:t>Activity 4: Install tools and skills, re-run the Excel and PPT tasks; Topic 2 reflection and debrief (A1, A5)</w:t>
            </w:r>
          </w:p>
        </w:tc>
        <w:tc>
          <w:tcPr>
            <w:tcW w:type="dxa" w:w="1224"/>
            <w:shd w:val="clear" w:color="auto" w:fill="E6F7F1"/>
          </w:tcPr>
          <w:p>
            <w:pPr>
              <w:keepLines/>
            </w:pPr>
            <w:r/>
            <w:r>
              <w:rPr>
                <w:rFonts w:ascii="Arial" w:hAnsi="Arial"/>
                <w:b w:val="0"/>
                <w:sz w:val="19"/>
              </w:rPr>
              <w:t>25 min</w:t>
            </w:r>
          </w:p>
        </w:tc>
      </w:tr>
      <w:tr>
        <w:trPr>
          <w:cantSplit/>
        </w:trPr>
        <w:tc>
          <w:tcPr>
            <w:tcW w:type="dxa" w:w="1656"/>
            <w:shd w:val="clear" w:color="auto" w:fill="E6F7F1"/>
          </w:tcPr>
          <w:p>
            <w:pPr>
              <w:keepLines/>
            </w:pPr>
            <w:r/>
            <w:r>
              <w:rPr>
                <w:rFonts w:ascii="Arial" w:hAnsi="Arial"/>
                <w:b w:val="0"/>
                <w:sz w:val="19"/>
              </w:rPr>
              <w:t>3:50 – 4:35</w:t>
            </w:r>
          </w:p>
        </w:tc>
        <w:tc>
          <w:tcPr>
            <w:tcW w:type="dxa" w:w="7416"/>
            <w:shd w:val="clear" w:color="auto" w:fill="E6F7F1"/>
          </w:tcPr>
          <w:p>
            <w:pPr>
              <w:keepLines/>
            </w:pPr>
            <w:r/>
            <w:r>
              <w:rPr>
                <w:rFonts w:ascii="Arial" w:hAnsi="Arial"/>
                <w:b w:val="0"/>
                <w:sz w:val="19"/>
              </w:rPr>
              <w:t>Topic 3: AI data governance and accountability (Moffatt v Air Canada); Activity 5 — draft an AI data governance policy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E6F7F1"/>
          </w:tcPr>
          <w:p>
            <w:pPr>
              <w:keepLines/>
            </w:pPr>
            <w:r/>
            <w:r>
              <w:rPr>
                <w:rFonts w:ascii="Arial" w:hAnsi="Arial"/>
                <w:b w:val="0"/>
                <w:sz w:val="19"/>
              </w:rPr>
              <w:t>4:35 – 5:15</w:t>
            </w:r>
          </w:p>
        </w:tc>
        <w:tc>
          <w:tcPr>
            <w:tcW w:type="dxa" w:w="7416"/>
            <w:shd w:val="clear" w:color="auto" w:fill="E6F7F1"/>
          </w:tcPr>
          <w:p>
            <w:pPr>
              <w:keepLines/>
            </w:pPr>
            <w:r/>
            <w:r>
              <w:rPr>
                <w:rFonts w:ascii="Arial" w:hAnsi="Arial"/>
                <w:b w:val="0"/>
                <w:sz w:val="19"/>
              </w:rPr>
              <w:t>Topic 3: Job impact and redesign; Activity 6 — coaching role-play simulator (A2)</w:t>
            </w:r>
          </w:p>
        </w:tc>
        <w:tc>
          <w:tcPr>
            <w:tcW w:type="dxa" w:w="1224"/>
            <w:shd w:val="clear" w:color="auto" w:fill="E6F7F1"/>
          </w:tcPr>
          <w:p>
            <w:pPr>
              <w:keepLines/>
            </w:pPr>
            <w:r/>
            <w:r>
              <w:rPr>
                <w:rFonts w:ascii="Arial" w:hAnsi="Arial"/>
                <w:b w:val="0"/>
                <w:sz w:val="19"/>
              </w:rPr>
              <w:t>40 min</w:t>
            </w:r>
          </w:p>
        </w:tc>
      </w:tr>
      <w:tr>
        <w:trPr>
          <w:cantSplit/>
        </w:trPr>
        <w:tc>
          <w:tcPr>
            <w:tcW w:type="dxa" w:w="1656"/>
            <w:shd w:val="clear" w:color="auto" w:fill="E6F7F1"/>
          </w:tcPr>
          <w:p>
            <w:pPr>
              <w:keepLines/>
            </w:pPr>
            <w:r/>
            <w:r>
              <w:rPr>
                <w:rFonts w:ascii="Arial" w:hAnsi="Arial"/>
                <w:b w:val="0"/>
                <w:sz w:val="19"/>
              </w:rPr>
              <w:t>5:15 – 6:00</w:t>
            </w:r>
          </w:p>
        </w:tc>
        <w:tc>
          <w:tcPr>
            <w:tcW w:type="dxa" w:w="7416"/>
            <w:shd w:val="clear" w:color="auto" w:fill="E6F7F1"/>
          </w:tcPr>
          <w:p>
            <w:pPr>
              <w:keepLines/>
            </w:pPr>
            <w:r/>
            <w:r>
              <w:rPr>
                <w:rFonts w:ascii="Arial" w:hAnsi="Arial"/>
                <w:b w:val="0"/>
                <w:sz w:val="19"/>
              </w:rPr>
              <w:t>Topic 3: AI-agent cybersecurity risks and safe rollout; Activities 7 &amp; 8 — leaky vs guarded chatbots and security reflection (A1, A2)</w:t>
            </w:r>
          </w:p>
        </w:tc>
        <w:tc>
          <w:tcPr>
            <w:tcW w:type="dxa" w:w="1224"/>
            <w:shd w:val="clear" w:color="auto" w:fill="E6F7F1"/>
          </w:tcPr>
          <w:p>
            <w:pPr>
              <w:keepLines/>
            </w:pPr>
            <w:r/>
            <w:r>
              <w:rPr>
                <w:rFonts w:ascii="Arial" w:hAnsi="Arial"/>
                <w:b w:val="0"/>
                <w:sz w:val="19"/>
              </w:rPr>
              <w:t>45 min</w:t>
            </w:r>
          </w:p>
        </w:tc>
      </w:tr>
      <w:tr>
        <w:trPr>
          <w:cantSplit/>
        </w:trPr>
        <w:tc>
          <w:tcPr>
            <w:tcW w:type="dxa" w:w="1656"/>
            <w:shd w:val="clear" w:color="auto" w:fill="FDECEC"/>
          </w:tcPr>
          <w:p>
            <w:pPr>
              <w:keepLines/>
            </w:pPr>
            <w:r/>
            <w:r>
              <w:rPr>
                <w:rFonts w:ascii="Arial" w:hAnsi="Arial"/>
                <w:b w:val="0"/>
                <w:sz w:val="19"/>
              </w:rPr>
              <w:t>6:00 – 6:35</w:t>
            </w:r>
          </w:p>
        </w:tc>
        <w:tc>
          <w:tcPr>
            <w:tcW w:type="dxa" w:w="7416"/>
            <w:shd w:val="clear" w:color="auto" w:fill="FDECEC"/>
          </w:tcPr>
          <w:p>
            <w:pPr>
              <w:keepLines/>
            </w:pPr>
            <w:r/>
            <w:r>
              <w:rPr>
                <w:rFonts w:ascii="Arial" w:hAnsi="Arial"/>
                <w:b w:val="0"/>
                <w:sz w:val="19"/>
              </w:rPr>
              <w:t>Briefing for assessment; Written Assessment (SAQ) — 5 questions, one per K statement (K1-K5)</w:t>
            </w:r>
          </w:p>
        </w:tc>
        <w:tc>
          <w:tcPr>
            <w:tcW w:type="dxa" w:w="1224"/>
            <w:shd w:val="clear" w:color="auto" w:fill="FDECEC"/>
          </w:tcPr>
          <w:p>
            <w:pPr>
              <w:keepLines/>
            </w:pPr>
            <w:r/>
            <w:r>
              <w:rPr>
                <w:rFonts w:ascii="Arial" w:hAnsi="Arial"/>
                <w:b w:val="0"/>
                <w:sz w:val="19"/>
              </w:rPr>
              <w:t>35 min</w:t>
            </w:r>
          </w:p>
        </w:tc>
      </w:tr>
      <w:tr>
        <w:trPr>
          <w:cantSplit/>
        </w:trPr>
        <w:tc>
          <w:tcPr>
            <w:tcW w:type="dxa" w:w="1656"/>
            <w:shd w:val="clear" w:color="auto" w:fill="FDECEC"/>
          </w:tcPr>
          <w:p>
            <w:pPr>
              <w:keepLines/>
            </w:pPr>
            <w:r/>
            <w:r>
              <w:rPr>
                <w:rFonts w:ascii="Arial" w:hAnsi="Arial"/>
                <w:b w:val="0"/>
                <w:sz w:val="19"/>
              </w:rPr>
              <w:t>6:35 – 7:00</w:t>
            </w:r>
          </w:p>
        </w:tc>
        <w:tc>
          <w:tcPr>
            <w:tcW w:type="dxa" w:w="7416"/>
            <w:shd w:val="clear" w:color="auto" w:fill="FDECEC"/>
          </w:tcPr>
          <w:p>
            <w:pPr>
              <w:keepLines/>
            </w:pPr>
            <w:r/>
            <w:r>
              <w:rPr>
                <w:rFonts w:ascii="Arial" w:hAnsi="Arial"/>
                <w:b w:val="0"/>
                <w:sz w:val="19"/>
              </w:rPr>
              <w:t>Practical Performance — 3 reflection tasks on the activities completed; TRAQOM close</w:t>
            </w:r>
          </w:p>
        </w:tc>
        <w:tc>
          <w:tcPr>
            <w:tcW w:type="dxa" w:w="1224"/>
            <w:shd w:val="clear" w:color="auto" w:fill="FDECEC"/>
          </w:tcPr>
          <w:p>
            <w:pPr>
              <w:keepLines/>
            </w:pPr>
            <w:r/>
            <w:r>
              <w:rPr>
                <w:rFonts w:ascii="Arial" w:hAnsi="Arial"/>
                <w:b w:val="0"/>
                <w:sz w:val="19"/>
              </w:rPr>
              <w:t>25 min</w:t>
            </w:r>
          </w:p>
        </w:tc>
      </w:tr>
    </w:tbl>
    <w:p>
      <w:pPr>
        <w:spacing w:after="120"/>
      </w:pPr>
      <w:r>
        <w:rPr>
          <w:rFonts w:ascii="Arial" w:hAnsi="Arial"/>
          <w:b w:val="0"/>
          <w:color w:val="111827"/>
          <w:sz w:val="22"/>
        </w:rPr>
      </w:r>
    </w:p>
    <w:p>
      <w:pPr>
        <w:spacing w:after="120"/>
      </w:pPr>
      <w:r>
        <w:rPr>
          <w:rFonts w:ascii="Arial" w:hAnsi="Arial"/>
          <w:b/>
          <w:color w:val="111827"/>
          <w:sz w:val="20"/>
        </w:rPr>
        <w:t>Instructional total: 480 minutes (8 hours), excluding the 1-hour lunch break and the 1-hour assessment.</w:t>
      </w:r>
    </w:p>
    <w:p>
      <w:r>
        <w:br w:type="page"/>
      </w:r>
    </w:p>
    <w:p>
      <w:pPr>
        <w:pStyle w:val="Heading1"/>
      </w:pPr>
      <w:r>
        <w:t>3. Activities</w:t>
      </w:r>
    </w:p>
    <w:p>
      <w:pPr>
        <w:spacing w:after="120"/>
      </w:pPr>
      <w:r>
        <w:rPr>
          <w:rFonts w:ascii="Arial" w:hAnsi="Arial"/>
          <w:b w:val="0"/>
          <w:color w:val="111827"/>
          <w:sz w:val="22"/>
        </w:rPr>
        <w:t>Every activity uses a ready-made website, chatbot or AI agent — learners do not write any code. Each has its own folder under activities/ containing learner instructions, prompt cards, mock data and printable PDFs. All data is fictional. Full step-by-step facilitation detail is in the Learner Guide.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504"/>
            <w:shd w:val="clear" w:color="auto" w:fill="1F6FEB"/>
          </w:tcPr>
          <w:p>
            <w:pPr>
              <w:keepNext/>
              <w:keepLines/>
            </w:pPr>
            <w:r/>
            <w:r>
              <w:rPr>
                <w:rFonts w:ascii="Arial" w:hAnsi="Arial"/>
                <w:b/>
                <w:color w:val="FFFFFF"/>
                <w:sz w:val="20"/>
              </w:rPr>
              <w:t>#</w:t>
            </w:r>
          </w:p>
        </w:tc>
        <w:tc>
          <w:tcPr>
            <w:tcW w:type="dxa" w:w="5256"/>
            <w:shd w:val="clear" w:color="auto" w:fill="1F6FEB"/>
          </w:tcPr>
          <w:p>
            <w:pPr>
              <w:keepNext/>
              <w:keepLines/>
            </w:pPr>
            <w:r/>
            <w:r>
              <w:rPr>
                <w:rFonts w:ascii="Arial" w:hAnsi="Arial"/>
                <w:b/>
                <w:color w:val="FFFFFF"/>
                <w:sz w:val="20"/>
              </w:rPr>
              <w:t>Activity</w:t>
            </w:r>
          </w:p>
        </w:tc>
        <w:tc>
          <w:tcPr>
            <w:tcW w:type="dxa" w:w="864"/>
            <w:shd w:val="clear" w:color="auto" w:fill="1F6FEB"/>
          </w:tcPr>
          <w:p>
            <w:pPr>
              <w:keepNext/>
              <w:keepLines/>
            </w:pPr>
            <w:r/>
            <w:r>
              <w:rPr>
                <w:rFonts w:ascii="Arial" w:hAnsi="Arial"/>
                <w:b/>
                <w:color w:val="FFFFFF"/>
                <w:sz w:val="20"/>
              </w:rPr>
              <w:t>Topic</w:t>
            </w:r>
          </w:p>
        </w:tc>
        <w:tc>
          <w:tcPr>
            <w:tcW w:type="dxa" w:w="1224"/>
            <w:shd w:val="clear" w:color="auto" w:fill="1F6FEB"/>
          </w:tcPr>
          <w:p>
            <w:pPr>
              <w:keepNext/>
              <w:keepLines/>
            </w:pPr>
            <w:r/>
            <w:r>
              <w:rPr>
                <w:rFonts w:ascii="Arial" w:hAnsi="Arial"/>
                <w:b/>
                <w:color w:val="FFFFFF"/>
                <w:sz w:val="20"/>
              </w:rPr>
              <w:t>Duration</w:t>
            </w:r>
          </w:p>
        </w:tc>
        <w:tc>
          <w:tcPr>
            <w:tcW w:type="dxa" w:w="2016"/>
            <w:shd w:val="clear" w:color="auto" w:fill="1F6FEB"/>
          </w:tcPr>
          <w:p>
            <w:pPr>
              <w:keepNext/>
              <w:keepLines/>
            </w:pPr>
            <w:r/>
            <w:r>
              <w:rPr>
                <w:rFonts w:ascii="Arial" w:hAnsi="Arial"/>
                <w:b/>
                <w:color w:val="FFFFFF"/>
                <w:sz w:val="20"/>
              </w:rPr>
              <w:t>LO / A</w:t>
            </w:r>
          </w:p>
        </w:tc>
      </w:tr>
      <w:tr>
        <w:trPr>
          <w:cantSplit/>
        </w:trPr>
        <w:tc>
          <w:tcPr>
            <w:tcW w:type="dxa" w:w="504"/>
          </w:tcPr>
          <w:p>
            <w:pPr>
              <w:keepNext/>
              <w:keepLines/>
            </w:pPr>
            <w:r/>
            <w:r>
              <w:rPr>
                <w:rFonts w:ascii="Arial" w:hAnsi="Arial"/>
                <w:b/>
                <w:sz w:val="19"/>
              </w:rPr>
              <w:t>1</w:t>
            </w:r>
          </w:p>
        </w:tc>
        <w:tc>
          <w:tcPr>
            <w:tcW w:type="dxa" w:w="5256"/>
          </w:tcPr>
          <w:p>
            <w:pPr>
              <w:keepNext/>
              <w:keepLines/>
            </w:pPr>
            <w:r/>
            <w:r>
              <w:rPr>
                <w:rFonts w:ascii="Arial" w:hAnsi="Arial"/>
                <w:b w:val="0"/>
                <w:sz w:val="19"/>
              </w:rPr>
              <w:t>Talk to an AI Agent (TIA Support WhatsApp) and reflect on the Pinboard</w:t>
            </w:r>
          </w:p>
        </w:tc>
        <w:tc>
          <w:tcPr>
            <w:tcW w:type="dxa" w:w="864"/>
          </w:tcPr>
          <w:p>
            <w:pPr>
              <w:keepNext/>
              <w:keepLines/>
            </w:pPr>
            <w:r/>
            <w:r>
              <w:rPr>
                <w:rFonts w:ascii="Arial" w:hAnsi="Arial"/>
                <w:b w:val="0"/>
                <w:sz w:val="19"/>
              </w:rPr>
              <w:t>1</w:t>
            </w:r>
          </w:p>
        </w:tc>
        <w:tc>
          <w:tcPr>
            <w:tcW w:type="dxa" w:w="1224"/>
          </w:tcPr>
          <w:p>
            <w:pPr>
              <w:keepNext/>
              <w:keepLines/>
            </w:pPr>
            <w:r/>
            <w:r>
              <w:rPr>
                <w:rFonts w:ascii="Arial" w:hAnsi="Arial"/>
                <w:b w:val="0"/>
                <w:sz w:val="19"/>
              </w:rPr>
              <w:t>45 min</w:t>
            </w:r>
          </w:p>
        </w:tc>
        <w:tc>
          <w:tcPr>
            <w:tcW w:type="dxa" w:w="2016"/>
          </w:tcPr>
          <w:p>
            <w:pPr>
              <w:keepNext/>
              <w:keepLines/>
            </w:pPr>
            <w:r/>
            <w:r>
              <w:rPr>
                <w:rFonts w:ascii="Arial" w:hAnsi="Arial"/>
                <w:b w:val="0"/>
                <w:sz w:val="19"/>
              </w:rPr>
              <w:t>LO1 · A2, A4</w:t>
            </w:r>
          </w:p>
        </w:tc>
      </w:tr>
      <w:tr>
        <w:trPr>
          <w:cantSplit/>
        </w:trPr>
        <w:tc>
          <w:tcPr>
            <w:tcW w:type="dxa" w:w="504"/>
          </w:tcPr>
          <w:p>
            <w:pPr>
              <w:keepNext/>
              <w:keepLines/>
            </w:pPr>
            <w:r/>
            <w:r>
              <w:rPr>
                <w:rFonts w:ascii="Arial" w:hAnsi="Arial"/>
                <w:b/>
                <w:sz w:val="19"/>
              </w:rPr>
              <w:t>2</w:t>
            </w:r>
          </w:p>
        </w:tc>
        <w:tc>
          <w:tcPr>
            <w:tcW w:type="dxa" w:w="5256"/>
          </w:tcPr>
          <w:p>
            <w:pPr>
              <w:keepNext/>
              <w:keepLines/>
            </w:pPr>
            <w:r/>
            <w:r>
              <w:rPr>
                <w:rFonts w:ascii="Arial" w:hAnsi="Arial"/>
                <w:b w:val="0"/>
                <w:sz w:val="19"/>
              </w:rPr>
              <w:t>Analyse mock Excel marketing data with the Hermes + MiniMax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3</w:t>
            </w:r>
          </w:p>
        </w:tc>
        <w:tc>
          <w:tcPr>
            <w:tcW w:type="dxa" w:w="5256"/>
          </w:tcPr>
          <w:p>
            <w:pPr>
              <w:keepNext/>
              <w:keepLines/>
            </w:pPr>
            <w:r/>
            <w:r>
              <w:rPr>
                <w:rFonts w:ascii="Arial" w:hAnsi="Arial"/>
                <w:b w:val="0"/>
                <w:sz w:val="19"/>
              </w:rPr>
              <w:t>Build an animated PPT from an Envato template with the agent</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A5</w:t>
            </w:r>
          </w:p>
        </w:tc>
      </w:tr>
      <w:tr>
        <w:trPr>
          <w:cantSplit/>
        </w:trPr>
        <w:tc>
          <w:tcPr>
            <w:tcW w:type="dxa" w:w="504"/>
          </w:tcPr>
          <w:p>
            <w:pPr>
              <w:keepNext/>
              <w:keepLines/>
            </w:pPr>
            <w:r/>
            <w:r>
              <w:rPr>
                <w:rFonts w:ascii="Arial" w:hAnsi="Arial"/>
                <w:b/>
                <w:sz w:val="19"/>
              </w:rPr>
              <w:t>4</w:t>
            </w:r>
          </w:p>
        </w:tc>
        <w:tc>
          <w:tcPr>
            <w:tcW w:type="dxa" w:w="5256"/>
          </w:tcPr>
          <w:p>
            <w:pPr>
              <w:keepNext/>
              <w:keepLines/>
            </w:pPr>
            <w:r/>
            <w:r>
              <w:rPr>
                <w:rFonts w:ascii="Arial" w:hAnsi="Arial"/>
                <w:b w:val="0"/>
                <w:sz w:val="19"/>
              </w:rPr>
              <w:t>Install tools and skills, then re-run the Excel and PPT tasks</w:t>
            </w:r>
          </w:p>
        </w:tc>
        <w:tc>
          <w:tcPr>
            <w:tcW w:type="dxa" w:w="864"/>
          </w:tcPr>
          <w:p>
            <w:pPr>
              <w:keepNext/>
              <w:keepLines/>
            </w:pPr>
            <w:r/>
            <w:r>
              <w:rPr>
                <w:rFonts w:ascii="Arial" w:hAnsi="Arial"/>
                <w:b w:val="0"/>
                <w:sz w:val="19"/>
              </w:rPr>
              <w:t>2</w:t>
            </w:r>
          </w:p>
        </w:tc>
        <w:tc>
          <w:tcPr>
            <w:tcW w:type="dxa" w:w="1224"/>
          </w:tcPr>
          <w:p>
            <w:pPr>
              <w:keepNext/>
              <w:keepLines/>
            </w:pPr>
            <w:r/>
            <w:r>
              <w:rPr>
                <w:rFonts w:ascii="Arial" w:hAnsi="Arial"/>
                <w:b w:val="0"/>
                <w:sz w:val="19"/>
              </w:rPr>
              <w:t>25 min</w:t>
            </w:r>
          </w:p>
        </w:tc>
        <w:tc>
          <w:tcPr>
            <w:tcW w:type="dxa" w:w="2016"/>
          </w:tcPr>
          <w:p>
            <w:pPr>
              <w:keepNext/>
              <w:keepLines/>
            </w:pPr>
            <w:r/>
            <w:r>
              <w:rPr>
                <w:rFonts w:ascii="Arial" w:hAnsi="Arial"/>
                <w:b w:val="0"/>
                <w:sz w:val="19"/>
              </w:rPr>
              <w:t>LO2 · A1, A5</w:t>
            </w:r>
          </w:p>
        </w:tc>
      </w:tr>
      <w:tr>
        <w:trPr>
          <w:cantSplit/>
        </w:trPr>
        <w:tc>
          <w:tcPr>
            <w:tcW w:type="dxa" w:w="504"/>
          </w:tcPr>
          <w:p>
            <w:pPr>
              <w:keepNext/>
              <w:keepLines/>
            </w:pPr>
            <w:r/>
            <w:r>
              <w:rPr>
                <w:rFonts w:ascii="Arial" w:hAnsi="Arial"/>
                <w:b/>
                <w:sz w:val="19"/>
              </w:rPr>
              <w:t>5</w:t>
            </w:r>
          </w:p>
        </w:tc>
        <w:tc>
          <w:tcPr>
            <w:tcW w:type="dxa" w:w="5256"/>
          </w:tcPr>
          <w:p>
            <w:pPr>
              <w:keepNext/>
              <w:keepLines/>
            </w:pPr>
            <w:r/>
            <w:r>
              <w:rPr>
                <w:rFonts w:ascii="Arial" w:hAnsi="Arial"/>
                <w:b w:val="0"/>
                <w:sz w:val="19"/>
              </w:rPr>
              <w:t>Draft an AI Data Governance Policy from a sample using prompts</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keepLines/>
            </w:pPr>
            <w:r/>
            <w:r>
              <w:rPr>
                <w:rFonts w:ascii="Arial" w:hAnsi="Arial"/>
                <w:b/>
                <w:sz w:val="19"/>
              </w:rPr>
              <w:t>6</w:t>
            </w:r>
          </w:p>
        </w:tc>
        <w:tc>
          <w:tcPr>
            <w:tcW w:type="dxa" w:w="5256"/>
          </w:tcPr>
          <w:p>
            <w:pPr>
              <w:keepNext/>
              <w:keepLines/>
            </w:pPr>
            <w:r/>
            <w:r>
              <w:rPr>
                <w:rFonts w:ascii="Arial" w:hAnsi="Arial"/>
                <w:b w:val="0"/>
                <w:sz w:val="19"/>
              </w:rPr>
              <w:t>Coach a worried team member (AI role-play simulator)</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A2</w:t>
            </w:r>
          </w:p>
        </w:tc>
      </w:tr>
      <w:tr>
        <w:trPr>
          <w:cantSplit/>
        </w:trPr>
        <w:tc>
          <w:tcPr>
            <w:tcW w:type="dxa" w:w="504"/>
          </w:tcPr>
          <w:p>
            <w:pPr>
              <w:keepNext/>
              <w:keepLines/>
            </w:pPr>
            <w:r/>
            <w:r>
              <w:rPr>
                <w:rFonts w:ascii="Arial" w:hAnsi="Arial"/>
                <w:b/>
                <w:sz w:val="19"/>
              </w:rPr>
              <w:t>7</w:t>
            </w:r>
          </w:p>
        </w:tc>
        <w:tc>
          <w:tcPr>
            <w:tcW w:type="dxa" w:w="5256"/>
          </w:tcPr>
          <w:p>
            <w:pPr>
              <w:keepNext/>
              <w:keepLines/>
            </w:pPr>
            <w:r/>
            <w:r>
              <w:rPr>
                <w:rFonts w:ascii="Arial" w:hAnsi="Arial"/>
                <w:b w:val="0"/>
                <w:sz w:val="19"/>
              </w:rPr>
              <w:t>Leaky vs guarded chatbot — see and stop a PII leak</w:t>
            </w:r>
          </w:p>
        </w:tc>
        <w:tc>
          <w:tcPr>
            <w:tcW w:type="dxa" w:w="864"/>
          </w:tcPr>
          <w:p>
            <w:pPr>
              <w:keepNext/>
              <w:keepLines/>
            </w:pPr>
            <w:r/>
            <w:r>
              <w:rPr>
                <w:rFonts w:ascii="Arial" w:hAnsi="Arial"/>
                <w:b w:val="0"/>
                <w:sz w:val="19"/>
              </w:rPr>
              <w:t>3</w:t>
            </w:r>
          </w:p>
        </w:tc>
        <w:tc>
          <w:tcPr>
            <w:tcW w:type="dxa" w:w="1224"/>
          </w:tcPr>
          <w:p>
            <w:pPr>
              <w:keepNext/>
              <w:keepLines/>
            </w:pPr>
            <w:r/>
            <w:r>
              <w:rPr>
                <w:rFonts w:ascii="Arial" w:hAnsi="Arial"/>
                <w:b w:val="0"/>
                <w:sz w:val="19"/>
              </w:rPr>
              <w:t>30 min</w:t>
            </w:r>
          </w:p>
        </w:tc>
        <w:tc>
          <w:tcPr>
            <w:tcW w:type="dxa" w:w="2016"/>
          </w:tcPr>
          <w:p>
            <w:pPr>
              <w:keepNext/>
              <w:keepLines/>
            </w:pPr>
            <w:r/>
            <w:r>
              <w:rPr>
                <w:rFonts w:ascii="Arial" w:hAnsi="Arial"/>
                <w:b w:val="0"/>
                <w:sz w:val="19"/>
              </w:rPr>
              <w:t>LO3 · A1, A2</w:t>
            </w:r>
          </w:p>
        </w:tc>
      </w:tr>
      <w:tr>
        <w:trPr>
          <w:cantSplit/>
        </w:trPr>
        <w:tc>
          <w:tcPr>
            <w:tcW w:type="dxa" w:w="504"/>
          </w:tcPr>
          <w:p>
            <w:pPr>
              <w:keepNext w:val="0"/>
              <w:keepLines/>
            </w:pPr>
            <w:r/>
            <w:r>
              <w:rPr>
                <w:rFonts w:ascii="Arial" w:hAnsi="Arial"/>
                <w:b/>
                <w:sz w:val="19"/>
              </w:rPr>
              <w:t>8</w:t>
            </w:r>
          </w:p>
        </w:tc>
        <w:tc>
          <w:tcPr>
            <w:tcW w:type="dxa" w:w="5256"/>
          </w:tcPr>
          <w:p>
            <w:pPr>
              <w:keepNext w:val="0"/>
              <w:keepLines/>
            </w:pPr>
            <w:r/>
            <w:r>
              <w:rPr>
                <w:rFonts w:ascii="Arial" w:hAnsi="Arial"/>
                <w:b w:val="0"/>
                <w:sz w:val="19"/>
              </w:rPr>
              <w:t>Reflect on agent security and decide go / no-go</w:t>
            </w:r>
          </w:p>
        </w:tc>
        <w:tc>
          <w:tcPr>
            <w:tcW w:type="dxa" w:w="864"/>
          </w:tcPr>
          <w:p>
            <w:pPr>
              <w:keepNext w:val="0"/>
              <w:keepLines/>
            </w:pPr>
            <w:r/>
            <w:r>
              <w:rPr>
                <w:rFonts w:ascii="Arial" w:hAnsi="Arial"/>
                <w:b w:val="0"/>
                <w:sz w:val="19"/>
              </w:rPr>
              <w:t>3</w:t>
            </w:r>
          </w:p>
        </w:tc>
        <w:tc>
          <w:tcPr>
            <w:tcW w:type="dxa" w:w="1224"/>
          </w:tcPr>
          <w:p>
            <w:pPr>
              <w:keepNext w:val="0"/>
              <w:keepLines/>
            </w:pPr>
            <w:r/>
            <w:r>
              <w:rPr>
                <w:rFonts w:ascii="Arial" w:hAnsi="Arial"/>
                <w:b w:val="0"/>
                <w:sz w:val="19"/>
              </w:rPr>
              <w:t>15 min</w:t>
            </w:r>
          </w:p>
        </w:tc>
        <w:tc>
          <w:tcPr>
            <w:tcW w:type="dxa" w:w="2016"/>
          </w:tcPr>
          <w:p>
            <w:pPr>
              <w:keepNext w:val="0"/>
              <w:keepLines/>
            </w:pPr>
            <w:r/>
            <w:r>
              <w:rPr>
                <w:rFonts w:ascii="Arial" w:hAnsi="Arial"/>
                <w:b w:val="0"/>
                <w:sz w:val="19"/>
              </w:rPr>
              <w:t>LO3 · A1, A2</w:t>
            </w:r>
          </w:p>
        </w:tc>
      </w:tr>
    </w:tbl>
    <w:p>
      <w:pPr>
        <w:spacing w:after="120"/>
      </w:pPr>
      <w:r>
        <w:rPr>
          <w:rFonts w:ascii="Arial" w:hAnsi="Arial"/>
          <w:b w:val="0"/>
          <w:color w:val="555B66"/>
          <w:sz w:val="19"/>
        </w:rPr>
        <w:t>Times overlap with the topic teaching blocks in the schedule above; activity folders and the reflection Pinboard (alfredang.github.io/pinboard) are used throughout the day.</w:t>
      </w:r>
    </w:p>
    <w:p>
      <w:pPr>
        <w:pStyle w:val="Heading1"/>
      </w:pPr>
      <w:r>
        <w:t>4. Tools and Resources</w:t>
      </w:r>
    </w:p>
    <w:tbl>
      <w:tblPr>
        <w:tblStyle w:val="TableGrid"/>
        <w:tblW w:type="auto" w:w="0"/>
        <w:tblLook w:firstColumn="1" w:firstRow="1" w:lastColumn="0" w:lastRow="0" w:noHBand="0" w:noVBand="1" w:val="04A0"/>
      </w:tblPr>
      <w:tblGrid>
        <w:gridCol w:w="4320"/>
        <w:gridCol w:w="4320"/>
      </w:tblGrid>
      <w:tr>
        <w:trPr>
          <w:cantSplit/>
        </w:trPr>
        <w:tc>
          <w:tcPr>
            <w:tcW w:type="dxa" w:w="4176"/>
            <w:shd w:val="clear" w:color="auto" w:fill="1F6FEB"/>
          </w:tcPr>
          <w:p>
            <w:pPr>
              <w:keepNext/>
              <w:keepLines/>
            </w:pPr>
            <w:r/>
            <w:r>
              <w:rPr>
                <w:rFonts w:ascii="Arial" w:hAnsi="Arial"/>
                <w:b/>
                <w:color w:val="FFFFFF"/>
                <w:sz w:val="20"/>
              </w:rPr>
              <w:t>Resource</w:t>
            </w:r>
          </w:p>
        </w:tc>
        <w:tc>
          <w:tcPr>
            <w:tcW w:type="dxa" w:w="6120"/>
            <w:shd w:val="clear" w:color="auto" w:fill="1F6FEB"/>
          </w:tcPr>
          <w:p>
            <w:pPr>
              <w:keepNext/>
              <w:keepLines/>
            </w:pPr>
            <w:r/>
            <w:r>
              <w:rPr>
                <w:rFonts w:ascii="Arial" w:hAnsi="Arial"/>
                <w:b/>
                <w:color w:val="FFFFFF"/>
                <w:sz w:val="20"/>
              </w:rPr>
              <w:t>Purpose</w:t>
            </w:r>
          </w:p>
        </w:tc>
      </w:tr>
      <w:tr>
        <w:trPr>
          <w:cantSplit/>
        </w:trPr>
        <w:tc>
          <w:tcPr>
            <w:tcW w:type="dxa" w:w="4176"/>
          </w:tcPr>
          <w:p>
            <w:pPr>
              <w:keepNext/>
              <w:keepLines/>
            </w:pPr>
            <w:r/>
            <w:r>
              <w:rPr>
                <w:rFonts w:ascii="Arial" w:hAnsi="Arial"/>
                <w:b/>
                <w:sz w:val="19"/>
              </w:rPr>
              <w:t>Trainer slide deck (PPTX/PDF)</w:t>
            </w:r>
          </w:p>
        </w:tc>
        <w:tc>
          <w:tcPr>
            <w:tcW w:type="dxa" w:w="6120"/>
          </w:tcPr>
          <w:p>
            <w:pPr>
              <w:keepNext/>
              <w:keepLines/>
            </w:pPr>
            <w:r/>
            <w:r>
              <w:rPr>
                <w:rFonts w:ascii="Arial" w:hAnsi="Arial"/>
                <w:b w:val="0"/>
                <w:sz w:val="19"/>
              </w:rPr>
              <w:t>Facilitation, diagrams and concept walkthroughs</w:t>
            </w:r>
          </w:p>
        </w:tc>
      </w:tr>
      <w:tr>
        <w:trPr>
          <w:cantSplit/>
        </w:trPr>
        <w:tc>
          <w:tcPr>
            <w:tcW w:type="dxa" w:w="4176"/>
          </w:tcPr>
          <w:p>
            <w:pPr>
              <w:keepNext/>
              <w:keepLines/>
            </w:pPr>
            <w:r/>
            <w:r>
              <w:rPr>
                <w:rFonts w:ascii="Arial" w:hAnsi="Arial"/>
                <w:b/>
                <w:sz w:val="19"/>
              </w:rPr>
              <w:t>Learner Guide</w:t>
            </w:r>
          </w:p>
        </w:tc>
        <w:tc>
          <w:tcPr>
            <w:tcW w:type="dxa" w:w="6120"/>
          </w:tcPr>
          <w:p>
            <w:pPr>
              <w:keepNext/>
              <w:keepLines/>
            </w:pPr>
            <w:r/>
            <w:r>
              <w:rPr>
                <w:rFonts w:ascii="Arial" w:hAnsi="Arial"/>
                <w:b w:val="0"/>
                <w:sz w:val="19"/>
              </w:rPr>
              <w:t>Detailed notes and step-by-step activity walkthroughs</w:t>
            </w:r>
          </w:p>
        </w:tc>
      </w:tr>
      <w:tr>
        <w:trPr>
          <w:cantSplit/>
        </w:trPr>
        <w:tc>
          <w:tcPr>
            <w:tcW w:type="dxa" w:w="4176"/>
          </w:tcPr>
          <w:p>
            <w:pPr>
              <w:keepNext/>
              <w:keepLines/>
            </w:pPr>
            <w:r/>
            <w:r>
              <w:rPr>
                <w:rFonts w:ascii="Arial" w:hAnsi="Arial"/>
                <w:b/>
                <w:sz w:val="19"/>
              </w:rPr>
              <w:t>Activity packs (activities/)</w:t>
            </w:r>
          </w:p>
        </w:tc>
        <w:tc>
          <w:tcPr>
            <w:tcW w:type="dxa" w:w="6120"/>
          </w:tcPr>
          <w:p>
            <w:pPr>
              <w:keepNext/>
              <w:keepLines/>
            </w:pPr>
            <w:r/>
            <w:r>
              <w:rPr>
                <w:rFonts w:ascii="Arial" w:hAnsi="Arial"/>
                <w:b w:val="0"/>
                <w:sz w:val="19"/>
              </w:rPr>
              <w:t>Ready-made websites/chatbots, prompt cards and mock data</w:t>
            </w:r>
          </w:p>
        </w:tc>
      </w:tr>
      <w:tr>
        <w:trPr>
          <w:cantSplit/>
        </w:trPr>
        <w:tc>
          <w:tcPr>
            <w:tcW w:type="dxa" w:w="4176"/>
          </w:tcPr>
          <w:p>
            <w:pPr>
              <w:keepNext/>
              <w:keepLines/>
            </w:pPr>
            <w:r/>
            <w:r>
              <w:rPr>
                <w:rFonts w:ascii="Arial" w:hAnsi="Arial"/>
                <w:b/>
                <w:sz w:val="19"/>
              </w:rPr>
              <w:t>TIA Support on WhatsApp (+65 8866 6375)</w:t>
            </w:r>
          </w:p>
        </w:tc>
        <w:tc>
          <w:tcPr>
            <w:tcW w:type="dxa" w:w="6120"/>
          </w:tcPr>
          <w:p>
            <w:pPr>
              <w:keepNext/>
              <w:keepLines/>
            </w:pPr>
            <w:r/>
            <w:r>
              <w:rPr>
                <w:rFonts w:ascii="Arial" w:hAnsi="Arial"/>
                <w:b w:val="0"/>
                <w:sz w:val="19"/>
              </w:rPr>
              <w:t>Live OpenClaw-powered AI agent for Activity 1</w:t>
            </w:r>
          </w:p>
        </w:tc>
      </w:tr>
      <w:tr>
        <w:trPr>
          <w:cantSplit/>
        </w:trPr>
        <w:tc>
          <w:tcPr>
            <w:tcW w:type="dxa" w:w="4176"/>
          </w:tcPr>
          <w:p>
            <w:pPr>
              <w:keepNext/>
              <w:keepLines/>
            </w:pPr>
            <w:r/>
            <w:r>
              <w:rPr>
                <w:rFonts w:ascii="Arial" w:hAnsi="Arial"/>
                <w:b/>
                <w:sz w:val="19"/>
              </w:rPr>
              <w:t>Reflection Pinboard</w:t>
            </w:r>
          </w:p>
        </w:tc>
        <w:tc>
          <w:tcPr>
            <w:tcW w:type="dxa" w:w="6120"/>
          </w:tcPr>
          <w:p>
            <w:pPr>
              <w:keepNext/>
              <w:keepLines/>
            </w:pPr>
            <w:r/>
            <w:r>
              <w:rPr>
                <w:rFonts w:ascii="Arial" w:hAnsi="Arial"/>
                <w:b w:val="0"/>
                <w:sz w:val="19"/>
              </w:rPr>
              <w:t>alfredang.github.io/pinboard — group reflections by risk theme</w:t>
            </w:r>
          </w:p>
        </w:tc>
      </w:tr>
      <w:tr>
        <w:trPr>
          <w:cantSplit/>
        </w:trPr>
        <w:tc>
          <w:tcPr>
            <w:tcW w:type="dxa" w:w="4176"/>
          </w:tcPr>
          <w:p>
            <w:pPr>
              <w:keepNext/>
              <w:keepLines/>
            </w:pPr>
            <w:r/>
            <w:r>
              <w:rPr>
                <w:rFonts w:ascii="Arial" w:hAnsi="Arial"/>
                <w:b/>
                <w:sz w:val="19"/>
              </w:rPr>
              <w:t>Hermes Agent + MiniMax</w:t>
            </w:r>
          </w:p>
        </w:tc>
        <w:tc>
          <w:tcPr>
            <w:tcW w:type="dxa" w:w="6120"/>
          </w:tcPr>
          <w:p>
            <w:pPr>
              <w:keepNext/>
              <w:keepLines/>
            </w:pPr>
            <w:r/>
            <w:r>
              <w:rPr>
                <w:rFonts w:ascii="Arial" w:hAnsi="Arial"/>
                <w:b w:val="0"/>
                <w:sz w:val="19"/>
              </w:rPr>
              <w:t>hermes-agent.nousresearch.com and minimax.io for Topic 2</w:t>
            </w:r>
          </w:p>
        </w:tc>
      </w:tr>
      <w:tr>
        <w:trPr>
          <w:cantSplit/>
        </w:trPr>
        <w:tc>
          <w:tcPr>
            <w:tcW w:type="dxa" w:w="4176"/>
          </w:tcPr>
          <w:p>
            <w:pPr>
              <w:keepNext/>
              <w:keepLines/>
            </w:pPr>
            <w:r/>
            <w:r>
              <w:rPr>
                <w:rFonts w:ascii="Arial" w:hAnsi="Arial"/>
                <w:b/>
                <w:sz w:val="19"/>
              </w:rPr>
              <w:t>LMS/TMS portal</w:t>
            </w:r>
          </w:p>
        </w:tc>
        <w:tc>
          <w:tcPr>
            <w:tcW w:type="dxa" w:w="6120"/>
          </w:tcPr>
          <w:p>
            <w:pPr>
              <w:keepNext/>
              <w:keepLines/>
            </w:pPr>
            <w:r/>
            <w:r>
              <w:rPr>
                <w:rFonts w:ascii="Arial" w:hAnsi="Arial"/>
                <w:b w:val="0"/>
                <w:sz w:val="19"/>
              </w:rPr>
              <w:t>lms-tms.tertiaryinfotech.com — course material and submission</w:t>
            </w:r>
          </w:p>
        </w:tc>
      </w:tr>
      <w:tr>
        <w:trPr>
          <w:cantSplit/>
        </w:trPr>
        <w:tc>
          <w:tcPr>
            <w:tcW w:type="dxa" w:w="4176"/>
          </w:tcPr>
          <w:p>
            <w:pPr>
              <w:keepNext w:val="0"/>
              <w:keepLines/>
            </w:pPr>
            <w:r/>
            <w:r>
              <w:rPr>
                <w:rFonts w:ascii="Arial" w:hAnsi="Arial"/>
                <w:b/>
                <w:sz w:val="19"/>
              </w:rPr>
              <w:t>IMDA / PDPC / OWASP references</w:t>
            </w:r>
          </w:p>
        </w:tc>
        <w:tc>
          <w:tcPr>
            <w:tcW w:type="dxa" w:w="6120"/>
          </w:tcPr>
          <w:p>
            <w:pPr>
              <w:keepNext w:val="0"/>
              <w:keepLines/>
            </w:pPr>
            <w:r/>
            <w:r>
              <w:rPr>
                <w:rFonts w:ascii="Arial" w:hAnsi="Arial"/>
                <w:b w:val="0"/>
                <w:sz w:val="19"/>
              </w:rPr>
              <w:t>Governance and security reference material</w:t>
            </w:r>
          </w:p>
        </w:tc>
      </w:tr>
    </w:tbl>
    <w:p>
      <w:r>
        <w:br w:type="page"/>
      </w:r>
    </w:p>
    <w:p>
      <w:pPr>
        <w:pStyle w:val="Heading1"/>
      </w:pPr>
      <w:r>
        <w:t>5. Assessment</w:t>
      </w:r>
    </w:p>
    <w:p>
      <w:pPr>
        <w:spacing w:after="120"/>
      </w:pPr>
      <w:r>
        <w:rPr>
          <w:rFonts w:ascii="Arial" w:hAnsi="Arial"/>
          <w:b w:val="0"/>
          <w:color w:val="111827"/>
          <w:sz w:val="22"/>
        </w:rPr>
        <w:t>Assessment is conducted at the end of the day (6:00pm – 7:00pm). The briefing for assessment is delivered before the assessment begins.</w:t>
      </w:r>
    </w:p>
    <w:tbl>
      <w:tblPr>
        <w:tblStyle w:val="TableGrid"/>
        <w:tblW w:type="auto" w:w="0"/>
        <w:tblLook w:firstColumn="1" w:firstRow="1" w:lastColumn="0" w:lastRow="0" w:noHBand="0" w:noVBand="1" w:val="04A0"/>
      </w:tblPr>
      <w:tblGrid>
        <w:gridCol w:w="2880"/>
        <w:gridCol w:w="2880"/>
        <w:gridCol w:w="2880"/>
      </w:tblGrid>
      <w:tr>
        <w:trPr>
          <w:cantSplit/>
        </w:trPr>
        <w:tc>
          <w:tcPr>
            <w:tcW w:type="dxa" w:w="2520"/>
            <w:shd w:val="clear" w:color="auto" w:fill="1F6FEB"/>
          </w:tcPr>
          <w:p>
            <w:pPr>
              <w:keepNext/>
              <w:keepLines/>
            </w:pPr>
            <w:r/>
            <w:r>
              <w:rPr>
                <w:rFonts w:ascii="Arial" w:hAnsi="Arial"/>
                <w:b/>
                <w:color w:val="FFFFFF"/>
                <w:sz w:val="20"/>
              </w:rPr>
              <w:t>Instrument</w:t>
            </w:r>
          </w:p>
        </w:tc>
        <w:tc>
          <w:tcPr>
            <w:tcW w:type="dxa" w:w="2160"/>
            <w:shd w:val="clear" w:color="auto" w:fill="1F6FEB"/>
          </w:tcPr>
          <w:p>
            <w:pPr>
              <w:keepNext/>
              <w:keepLines/>
            </w:pPr>
            <w:r/>
            <w:r>
              <w:rPr>
                <w:rFonts w:ascii="Arial" w:hAnsi="Arial"/>
                <w:b/>
                <w:color w:val="FFFFFF"/>
                <w:sz w:val="20"/>
              </w:rPr>
              <w:t>Covers</w:t>
            </w:r>
          </w:p>
        </w:tc>
        <w:tc>
          <w:tcPr>
            <w:tcW w:type="dxa" w:w="5616"/>
            <w:shd w:val="clear" w:color="auto" w:fill="1F6FEB"/>
          </w:tcPr>
          <w:p>
            <w:pPr>
              <w:keepNext/>
              <w:keepLines/>
            </w:pPr>
            <w:r/>
            <w:r>
              <w:rPr>
                <w:rFonts w:ascii="Arial" w:hAnsi="Arial"/>
                <w:b/>
                <w:color w:val="FFFFFF"/>
                <w:sz w:val="20"/>
              </w:rPr>
              <w:t>Detail</w:t>
            </w:r>
          </w:p>
        </w:tc>
      </w:tr>
      <w:tr>
        <w:trPr>
          <w:cantSplit/>
        </w:trPr>
        <w:tc>
          <w:tcPr>
            <w:tcW w:type="dxa" w:w="2520"/>
          </w:tcPr>
          <w:p>
            <w:pPr>
              <w:keepNext/>
              <w:keepLines/>
            </w:pPr>
            <w:r/>
            <w:r>
              <w:rPr>
                <w:rFonts w:ascii="Arial" w:hAnsi="Arial"/>
                <w:b/>
                <w:sz w:val="19"/>
              </w:rPr>
              <w:t>Written Assessment (SAQ)</w:t>
            </w:r>
          </w:p>
        </w:tc>
        <w:tc>
          <w:tcPr>
            <w:tcW w:type="dxa" w:w="2160"/>
          </w:tcPr>
          <w:p>
            <w:pPr>
              <w:keepNext/>
              <w:keepLines/>
            </w:pPr>
            <w:r/>
            <w:r>
              <w:rPr>
                <w:rFonts w:ascii="Arial" w:hAnsi="Arial"/>
                <w:b w:val="0"/>
                <w:sz w:val="19"/>
              </w:rPr>
              <w:t>K1 – K5</w:t>
            </w:r>
          </w:p>
        </w:tc>
        <w:tc>
          <w:tcPr>
            <w:tcW w:type="dxa" w:w="5616"/>
          </w:tcPr>
          <w:p>
            <w:pPr>
              <w:keepNext/>
              <w:keepLines/>
            </w:pPr>
            <w:r/>
            <w:r>
              <w:rPr>
                <w:rFonts w:ascii="Arial" w:hAnsi="Arial"/>
                <w:b w:val="0"/>
                <w:sz w:val="19"/>
              </w:rPr>
              <w:t>Written Assessment (SAQ) — 5 short-answer questions, one per K statement (K1–K5)</w:t>
            </w:r>
          </w:p>
        </w:tc>
      </w:tr>
      <w:tr>
        <w:trPr>
          <w:cantSplit/>
        </w:trPr>
        <w:tc>
          <w:tcPr>
            <w:tcW w:type="dxa" w:w="2520"/>
          </w:tcPr>
          <w:p>
            <w:pPr>
              <w:keepNext/>
              <w:keepLines/>
            </w:pPr>
            <w:r/>
            <w:r>
              <w:rPr>
                <w:rFonts w:ascii="Arial" w:hAnsi="Arial"/>
                <w:b/>
                <w:sz w:val="19"/>
              </w:rPr>
              <w:t>Practical Performance</w:t>
            </w:r>
          </w:p>
        </w:tc>
        <w:tc>
          <w:tcPr>
            <w:tcW w:type="dxa" w:w="2160"/>
          </w:tcPr>
          <w:p>
            <w:pPr>
              <w:keepNext/>
              <w:keepLines/>
            </w:pPr>
            <w:r/>
            <w:r>
              <w:rPr>
                <w:rFonts w:ascii="Arial" w:hAnsi="Arial"/>
                <w:b w:val="0"/>
                <w:sz w:val="19"/>
              </w:rPr>
              <w:t>LO1 – LO3 (A1 – A5)</w:t>
            </w:r>
          </w:p>
        </w:tc>
        <w:tc>
          <w:tcPr>
            <w:tcW w:type="dxa" w:w="5616"/>
          </w:tcPr>
          <w:p>
            <w:pPr>
              <w:keepNext/>
              <w:keepLines/>
            </w:pPr>
            <w:r/>
            <w:r>
              <w:rPr>
                <w:rFonts w:ascii="Arial" w:hAnsi="Arial"/>
                <w:b w:val="0"/>
                <w:sz w:val="19"/>
              </w:rPr>
              <w:t>Practical Performance — 3 reflective tasks in which learners document their own observations from the in-class activities, mapped to LO1–LO3 and the A statements</w:t>
            </w:r>
          </w:p>
        </w:tc>
      </w:tr>
      <w:tr>
        <w:trPr>
          <w:cantSplit/>
        </w:trPr>
        <w:tc>
          <w:tcPr>
            <w:tcW w:type="dxa" w:w="2520"/>
          </w:tcPr>
          <w:p>
            <w:pPr>
              <w:keepNext/>
              <w:keepLines/>
            </w:pPr>
            <w:r/>
            <w:r>
              <w:rPr>
                <w:rFonts w:ascii="Arial" w:hAnsi="Arial"/>
                <w:b/>
                <w:sz w:val="19"/>
              </w:rPr>
              <w:t>Format</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Open Book</w:t>
            </w:r>
          </w:p>
        </w:tc>
      </w:tr>
      <w:tr>
        <w:trPr>
          <w:cantSplit/>
        </w:trPr>
        <w:tc>
          <w:tcPr>
            <w:tcW w:type="dxa" w:w="2520"/>
          </w:tcPr>
          <w:p>
            <w:pPr>
              <w:keepNext/>
              <w:keepLines/>
            </w:pPr>
            <w:r/>
            <w:r>
              <w:rPr>
                <w:rFonts w:ascii="Arial" w:hAnsi="Arial"/>
                <w:b/>
                <w:sz w:val="19"/>
              </w:rPr>
              <w:t>Grading</w:t>
            </w:r>
          </w:p>
        </w:tc>
        <w:tc>
          <w:tcPr>
            <w:tcW w:type="dxa" w:w="2160"/>
          </w:tcPr>
          <w:p>
            <w:pPr>
              <w:keepNext/>
              <w:keepLines/>
            </w:pPr>
            <w:r/>
            <w:r>
              <w:rPr>
                <w:rFonts w:ascii="Arial" w:hAnsi="Arial"/>
                <w:b w:val="0"/>
                <w:sz w:val="19"/>
              </w:rPr>
              <w:t>—</w:t>
            </w:r>
          </w:p>
        </w:tc>
        <w:tc>
          <w:tcPr>
            <w:tcW w:type="dxa" w:w="5616"/>
          </w:tcPr>
          <w:p>
            <w:pPr>
              <w:keepNext/>
              <w:keepLines/>
            </w:pPr>
            <w:r/>
            <w:r>
              <w:rPr>
                <w:rFonts w:ascii="Arial" w:hAnsi="Arial"/>
                <w:b w:val="0"/>
                <w:sz w:val="19"/>
              </w:rPr>
              <w:t>Competent / Not Yet Competent</w:t>
            </w:r>
          </w:p>
        </w:tc>
      </w:tr>
      <w:tr>
        <w:trPr>
          <w:cantSplit/>
        </w:trPr>
        <w:tc>
          <w:tcPr>
            <w:tcW w:type="dxa" w:w="2520"/>
          </w:tcPr>
          <w:p>
            <w:pPr>
              <w:keepNext w:val="0"/>
              <w:keepLines/>
            </w:pPr>
            <w:r/>
            <w:r>
              <w:rPr>
                <w:rFonts w:ascii="Arial" w:hAnsi="Arial"/>
                <w:b/>
                <w:sz w:val="19"/>
              </w:rPr>
              <w:t>Re-assessment</w:t>
            </w:r>
          </w:p>
        </w:tc>
        <w:tc>
          <w:tcPr>
            <w:tcW w:type="dxa" w:w="2160"/>
          </w:tcPr>
          <w:p>
            <w:pPr>
              <w:keepNext w:val="0"/>
              <w:keepLines/>
            </w:pPr>
            <w:r/>
            <w:r>
              <w:rPr>
                <w:rFonts w:ascii="Arial" w:hAnsi="Arial"/>
                <w:b w:val="0"/>
                <w:sz w:val="19"/>
              </w:rPr>
              <w:t>—</w:t>
            </w:r>
          </w:p>
        </w:tc>
        <w:tc>
          <w:tcPr>
            <w:tcW w:type="dxa" w:w="5616"/>
          </w:tcPr>
          <w:p>
            <w:pPr>
              <w:keepNext w:val="0"/>
              <w:keepLines/>
            </w:pPr>
            <w:r/>
            <w:r>
              <w:rPr>
                <w:rFonts w:ascii="Arial" w:hAnsi="Arial"/>
                <w:b w:val="0"/>
                <w:sz w:val="19"/>
              </w:rPr>
              <w:t>Available for learners assessed Not Yet Competent</w:t>
            </w:r>
          </w:p>
        </w:tc>
      </w:tr>
    </w:tbl>
    <w:p>
      <w:pPr>
        <w:spacing w:after="120"/>
      </w:pPr>
      <w:r>
        <w:rPr>
          <w:rFonts w:ascii="Arial" w:hAnsi="Arial"/>
          <w:b w:val="0"/>
          <w:color w:val="111827"/>
          <w:sz w:val="22"/>
        </w:rPr>
      </w:r>
    </w:p>
    <w:p>
      <w:pPr>
        <w:spacing w:after="120"/>
      </w:pPr>
      <w:r>
        <w:rPr>
          <w:rFonts w:ascii="Arial" w:hAnsi="Arial"/>
          <w:b w:val="0"/>
          <w:color w:val="111827"/>
          <w:sz w:val="20"/>
        </w:rPr>
        <w:t>The Practical Performance asks learners to document their own observations and reflections from the activities they completed during the day, so it is grounded in what each learner actually did in class and aligned to the slides and labs.</w:t>
      </w:r>
    </w:p>
    <w:p>
      <w:pPr>
        <w:spacing w:after="120"/>
      </w:pPr>
      <w:r>
        <w:rPr>
          <w:rFonts w:ascii="Arial" w:hAnsi="Arial"/>
          <w:b w:val="0"/>
          <w:color w:val="111827"/>
          <w:sz w:val="20"/>
        </w:rPr>
        <w:t>Funding eligibility requires a minimum 75% attendance recorded through SSG digital attendance, an assessment outcome of Competent, and completion of the TRAQOM survey.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