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case studies (CPA Australia AI adoption vs cybersecurity, CNA gen-AI brand-damage, Tricentis agentic testing, Synapxe AgentSea healthcare), a brand-damage discussion and debrief, a 'Key Challenges of AI to Business' capstone, a visual multi-agent map and a DeepSeek 'everything is a plugin' slide. Visible source citations on all real-life cases.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CNN — H&amp;M to create AI 'digital twins' of models (Mar 2025), S22 — CNN — AI models in Guess ad in Vogue's August 2025 issue</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Forbes — Klarna reverses on AI, re-hires human agents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34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39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DeepSeek Harness — 'Everything Is a Plugin'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S55 — DeepSeek Harness (dsh) — developer preview repository, S65 — MindStudio — DeepSeek Harness: agentic coding where everything is a plugin</w:t>
            </w:r>
          </w:p>
        </w:tc>
      </w:tr>
    </w:tbl>
    <w:p>
      <w:pPr>
        <w:spacing w:after="80"/>
      </w:pPr>
    </w:p>
    <w:p>
      <w:pPr>
        <w:spacing w:after="160"/>
      </w:pPr>
      <w:r>
        <w:rPr>
          <w:rFonts w:ascii="Arial" w:hAnsi="Arial"/>
          <w:b w:val="0"/>
          <w:i w:val="0"/>
          <w:color w:val="111827"/>
          <w:sz w:val="22"/>
        </w:rPr>
        <w:t>Read the points below as the few things worth remembering about “DeepSeek Harness — 'Everything Is a Plugin'”. A v0.1 developer preview. Its openness is powerful; in Topic 3 we treat each plugin as untrusted until reviewed.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idea</w:t>
            </w:r>
          </w:p>
        </w:tc>
        <w:tc>
          <w:tcPr>
            <w:tcW w:type="dxa" w:w="4320"/>
            <w:shd w:val="clear" w:color="auto" w:fill="F5F8FC"/>
          </w:tcPr>
          <w:p>
            <w:pPr>
              <w:keepNext/>
              <w:keepLines/>
              <w:spacing w:after="0"/>
            </w:pPr>
            <w:r/>
            <w:r>
              <w:rPr>
                <w:rFonts w:ascii="Arial" w:hAnsi="Arial"/>
                <w:b w:val="0"/>
                <w:color w:val="111827"/>
                <w:sz w:val="18"/>
              </w:rPr>
              <w:t>Every capability — tools, models, UI, even core behaviour — is a swappable plugin</w:t>
            </w:r>
          </w:p>
        </w:tc>
      </w:tr>
      <w:tr>
        <w:trPr>
          <w:cantSplit/>
        </w:trPr>
        <w:tc>
          <w:tcPr>
            <w:tcW w:type="dxa" w:w="4320"/>
          </w:tcPr>
          <w:p>
            <w:pPr>
              <w:keepNext/>
              <w:keepLines/>
              <w:spacing w:after="0"/>
            </w:pPr>
            <w:r/>
            <w:r>
              <w:rPr>
                <w:rFonts w:ascii="Arial" w:hAnsi="Arial"/>
                <w:b/>
                <w:color w:val="111827"/>
                <w:sz w:val="18"/>
              </w:rPr>
              <w:t>Model-agnostic</w:t>
            </w:r>
          </w:p>
        </w:tc>
        <w:tc>
          <w:tcPr>
            <w:tcW w:type="dxa" w:w="4320"/>
          </w:tcPr>
          <w:p>
            <w:pPr>
              <w:keepNext/>
              <w:keepLines/>
              <w:spacing w:after="0"/>
            </w:pPr>
            <w:r/>
            <w:r>
              <w:rPr>
                <w:rFonts w:ascii="Arial" w:hAnsi="Arial"/>
                <w:b w:val="0"/>
                <w:color w:val="111827"/>
                <w:sz w:val="18"/>
              </w:rPr>
              <w:t>Plug in any model; the harness is not tied to DeepSeek's own</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Flexible and extensible — but every plugin is also new code and a new trust boundary to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v0.1 developer preview. Its openness is powerful; in Topic 3 we treat each plugin as untrusted until reviewed.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46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48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54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59 — How a Multi-Agent System Works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“How a Multi-Agent System Works” is worth a closer look. A lead agent takes your goal, delegates to specialist workers that run in parallel, then combines their results. Anthropic's research system used this pattern and beat a single agent by ~90% on its internal eval.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lead agent takes your goal, delegates to specialist workers that run in parallel, then combines their results. Anthropic's research system used this pattern and beat a single agent by ~90% on its internal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60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61 — A Service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Service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Goal</w:t>
            </w:r>
          </w:p>
        </w:tc>
        <w:tc>
          <w:tcPr>
            <w:tcW w:type="dxa" w:w="4320"/>
            <w:shd w:val="clear" w:color="auto" w:fill="F5F8FC"/>
          </w:tcPr>
          <w:p>
            <w:pPr>
              <w:keepNext/>
              <w:keepLines/>
              <w:spacing w:after="0"/>
            </w:pPr>
            <w:r/>
            <w:r>
              <w:rPr>
                <w:rFonts w:ascii="Arial" w:hAnsi="Arial"/>
                <w:b w:val="0"/>
                <w:color w:val="111827"/>
                <w:sz w:val="18"/>
              </w:rPr>
              <w:t>'Plan a customer-recovery campaign'</w:t>
            </w:r>
          </w:p>
        </w:tc>
      </w:tr>
      <w:tr>
        <w:trPr>
          <w:cantSplit/>
        </w:trPr>
        <w:tc>
          <w:tcPr>
            <w:tcW w:type="dxa" w:w="4320"/>
          </w:tcPr>
          <w:p>
            <w:pPr>
              <w:keepNext/>
              <w:keepLines/>
              <w:spacing w:after="0"/>
            </w:pPr>
            <w:r/>
            <w:r>
              <w:rPr>
                <w:rFonts w:ascii="Arial" w:hAnsi="Arial"/>
                <w:b/>
                <w:color w:val="111827"/>
                <w:sz w:val="18"/>
              </w:rPr>
              <w:t>Workers</w:t>
            </w:r>
          </w:p>
        </w:tc>
        <w:tc>
          <w:tcPr>
            <w:tcW w:type="dxa" w:w="4320"/>
          </w:tcPr>
          <w:p>
            <w:pPr>
              <w:keepNext/>
              <w:keepLines/>
              <w:spacing w:after="0"/>
            </w:pPr>
            <w:r/>
            <w:r>
              <w:rPr>
                <w:rFonts w:ascii="Arial" w:hAnsi="Arial"/>
                <w:b w:val="0"/>
                <w:color w:val="111827"/>
                <w:sz w:val="18"/>
              </w:rPr>
              <w:t>One drafts copy, one builds the offer, one checks the data</w:t>
            </w:r>
          </w:p>
        </w:tc>
      </w:tr>
      <w:tr>
        <w:trPr>
          <w:cantSplit/>
        </w:trPr>
        <w:tc>
          <w:tcPr>
            <w:tcW w:type="dxa" w:w="4320"/>
            <w:shd w:val="clear" w:color="auto" w:fill="F5F8FC"/>
          </w:tcPr>
          <w:p>
            <w:pPr>
              <w:keepNext w:val="0"/>
              <w:keepLines/>
              <w:spacing w:after="0"/>
            </w:pPr>
            <w:r/>
            <w:r>
              <w:rPr>
                <w:rFonts w:ascii="Arial" w:hAnsi="Arial"/>
                <w:b/>
                <w:color w:val="111827"/>
                <w:sz w:val="18"/>
              </w:rPr>
              <w:t>Lead</w:t>
            </w:r>
          </w:p>
        </w:tc>
        <w:tc>
          <w:tcPr>
            <w:tcW w:type="dxa" w:w="4320"/>
            <w:shd w:val="clear" w:color="auto" w:fill="F5F8FC"/>
          </w:tcPr>
          <w:p>
            <w:pPr>
              <w:keepNext w:val="0"/>
              <w:keepLines/>
              <w:spacing w:after="0"/>
            </w:pPr>
            <w:r/>
            <w:r>
              <w:rPr>
                <w:rFonts w:ascii="Arial" w:hAnsi="Arial"/>
                <w:b w:val="0"/>
                <w:color w:val="111827"/>
                <w:sz w:val="18"/>
              </w:rPr>
              <w:t>Merges the three into one plan for a human to approve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63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65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66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67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70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71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72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75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77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'Post-Training' for Agents — Memory and Skills, Not Fine-Tuning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“'Post-Training' for Agents — Memory and Skills, Not Fine-Tuning”. This is how the Hermes agent 'self-improves': it writes learnings to memory and skills, then reuses them.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fine-tuning</w:t>
            </w:r>
          </w:p>
        </w:tc>
        <w:tc>
          <w:tcPr>
            <w:tcW w:type="dxa" w:w="4320"/>
            <w:shd w:val="clear" w:color="auto" w:fill="F5F8FC"/>
          </w:tcPr>
          <w:p>
            <w:pPr>
              <w:keepNext/>
              <w:keepLines/>
              <w:spacing w:after="0"/>
            </w:pPr>
            <w:r/>
            <w:r>
              <w:rPr>
                <w:rFonts w:ascii="Arial" w:hAnsi="Arial"/>
                <w:b w:val="0"/>
                <w:color w:val="111827"/>
                <w:sz w:val="18"/>
              </w:rPr>
              <w:t>You are not retraining the model's weights — that is expensive and out of reach for most teams</w:t>
            </w:r>
          </w:p>
        </w:tc>
      </w:tr>
      <w:tr>
        <w:trPr>
          <w:cantSplit/>
        </w:trPr>
        <w:tc>
          <w:tcPr>
            <w:tcW w:type="dxa" w:w="4320"/>
          </w:tcPr>
          <w:p>
            <w:pPr>
              <w:keepNext/>
              <w:keepLines/>
              <w:spacing w:after="0"/>
            </w:pPr>
            <w:r/>
            <w:r>
              <w:rPr>
                <w:rFonts w:ascii="Arial" w:hAnsi="Arial"/>
                <w:b/>
                <w:color w:val="111827"/>
                <w:sz w:val="18"/>
              </w:rPr>
              <w:t>It's context engineering</w:t>
            </w:r>
          </w:p>
        </w:tc>
        <w:tc>
          <w:tcPr>
            <w:tcW w:type="dxa" w:w="4320"/>
          </w:tcPr>
          <w:p>
            <w:pPr>
              <w:keepNext/>
              <w:keepLines/>
              <w:spacing w:after="0"/>
            </w:pPr>
            <w:r/>
            <w:r>
              <w:rPr>
                <w:rFonts w:ascii="Arial" w:hAnsi="Arial"/>
                <w:b w:val="0"/>
                <w:color w:val="111827"/>
                <w:sz w:val="18"/>
              </w:rPr>
              <w:t>The agent stores what it learns in memory files and reusable skills</w:t>
            </w:r>
          </w:p>
        </w:tc>
      </w:tr>
      <w:tr>
        <w:trPr>
          <w:cantSplit/>
        </w:trPr>
        <w:tc>
          <w:tcPr>
            <w:tcW w:type="dxa" w:w="4320"/>
            <w:shd w:val="clear" w:color="auto" w:fill="F5F8FC"/>
          </w:tcPr>
          <w:p>
            <w:pPr>
              <w:keepNext/>
              <w:keepLines/>
              <w:spacing w:after="0"/>
            </w:pPr>
            <w:r/>
            <w:r>
              <w:rPr>
                <w:rFonts w:ascii="Arial" w:hAnsi="Arial"/>
                <w:b/>
                <w:color w:val="111827"/>
                <w:sz w:val="18"/>
              </w:rPr>
              <w:t>Improves over time</w:t>
            </w:r>
          </w:p>
        </w:tc>
        <w:tc>
          <w:tcPr>
            <w:tcW w:type="dxa" w:w="4320"/>
            <w:shd w:val="clear" w:color="auto" w:fill="F5F8FC"/>
          </w:tcPr>
          <w:p>
            <w:pPr>
              <w:keepNext/>
              <w:keepLines/>
              <w:spacing w:after="0"/>
            </w:pPr>
            <w:r/>
            <w:r>
              <w:rPr>
                <w:rFonts w:ascii="Arial" w:hAnsi="Arial"/>
                <w:b w:val="0"/>
                <w:color w:val="111827"/>
                <w:sz w:val="18"/>
              </w:rPr>
              <w:t>Next time, it loads those memories and skills — so it gets better without retraining</w:t>
            </w:r>
          </w:p>
        </w:tc>
      </w:tr>
      <w:tr>
        <w:trPr>
          <w:cantSplit/>
        </w:trPr>
        <w:tc>
          <w:tcPr>
            <w:tcW w:type="dxa" w:w="4320"/>
          </w:tcPr>
          <w:p>
            <w:pPr>
              <w:keepNext w:val="0"/>
              <w:keepLines/>
              <w:spacing w:after="0"/>
            </w:pPr>
            <w:r/>
            <w:r>
              <w:rPr>
                <w:rFonts w:ascii="Arial" w:hAnsi="Arial"/>
                <w:b/>
                <w:color w:val="111827"/>
                <w:sz w:val="18"/>
              </w:rPr>
              <w:t>Stays consistent</w:t>
            </w:r>
          </w:p>
        </w:tc>
        <w:tc>
          <w:tcPr>
            <w:tcW w:type="dxa" w:w="4320"/>
          </w:tcPr>
          <w:p>
            <w:pPr>
              <w:keepNext w:val="0"/>
              <w:keepLines/>
              <w:spacing w:after="0"/>
            </w:pPr>
            <w:r/>
            <w:r>
              <w:rPr>
                <w:rFonts w:ascii="Arial" w:hAnsi="Arial"/>
                <w:b w:val="0"/>
                <w:color w:val="111827"/>
                <w:sz w:val="18"/>
              </w:rPr>
              <w:t>The same saved skill makes the agent do a task the same way every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how the Hermes agent 'self-improves': it writes learnings to memory and skills, then reuses them.</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Reflect — Does Prompt Engineering Still Matter With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 Does Prompt Engineering Still Matter With Agents?”. Discuss: think back to your bad-vs-good prompts — how many extra agent steps did the vague one cause?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question</w:t>
            </w:r>
          </w:p>
        </w:tc>
        <w:tc>
          <w:tcPr>
            <w:tcW w:type="dxa" w:w="4320"/>
            <w:shd w:val="clear" w:color="auto" w:fill="F5F8FC"/>
          </w:tcPr>
          <w:p>
            <w:pPr>
              <w:keepNext/>
              <w:keepLines/>
              <w:spacing w:after="0"/>
            </w:pPr>
            <w:r/>
            <w:r>
              <w:rPr>
                <w:rFonts w:ascii="Arial" w:hAnsi="Arial"/>
                <w:b w:val="0"/>
                <w:color w:val="111827"/>
                <w:sz w:val="18"/>
              </w:rPr>
              <w:t>An agentic loop can plan, retry and self-correct — so is a good prompt still worth the effort?</w:t>
            </w:r>
          </w:p>
        </w:tc>
      </w:tr>
      <w:tr>
        <w:trPr>
          <w:cantSplit/>
        </w:trPr>
        <w:tc>
          <w:tcPr>
            <w:tcW w:type="dxa" w:w="4320"/>
          </w:tcPr>
          <w:p>
            <w:pPr>
              <w:keepNext/>
              <w:keepLines/>
              <w:spacing w:after="0"/>
            </w:pPr>
            <w:r/>
            <w:r>
              <w:rPr>
                <w:rFonts w:ascii="Arial" w:hAnsi="Arial"/>
                <w:b/>
                <w:color w:val="111827"/>
                <w:sz w:val="18"/>
              </w:rPr>
              <w:t>Still yes</w:t>
            </w:r>
          </w:p>
        </w:tc>
        <w:tc>
          <w:tcPr>
            <w:tcW w:type="dxa" w:w="4320"/>
          </w:tcPr>
          <w:p>
            <w:pPr>
              <w:keepNext/>
              <w:keepLines/>
              <w:spacing w:after="0"/>
            </w:pPr>
            <w:r/>
            <w:r>
              <w:rPr>
                <w:rFonts w:ascii="Arial" w:hAnsi="Arial"/>
                <w:b w:val="0"/>
                <w:color w:val="111827"/>
                <w:sz w:val="18"/>
              </w:rPr>
              <w:t>A clear prompt points the loop at the right goal from the start, instead of it guessing and looping</w:t>
            </w:r>
          </w:p>
        </w:tc>
      </w:tr>
      <w:tr>
        <w:trPr>
          <w:cantSplit/>
        </w:trPr>
        <w:tc>
          <w:tcPr>
            <w:tcW w:type="dxa" w:w="4320"/>
            <w:shd w:val="clear" w:color="auto" w:fill="F5F8FC"/>
          </w:tcPr>
          <w:p>
            <w:pPr>
              <w:keepNext/>
              <w:keepLines/>
              <w:spacing w:after="0"/>
            </w:pPr>
            <w:r/>
            <w:r>
              <w:rPr>
                <w:rFonts w:ascii="Arial" w:hAnsi="Arial"/>
                <w:b/>
                <w:color w:val="111827"/>
                <w:sz w:val="18"/>
              </w:rPr>
              <w:t>Saves time &amp; tokens</w:t>
            </w:r>
          </w:p>
        </w:tc>
        <w:tc>
          <w:tcPr>
            <w:tcW w:type="dxa" w:w="4320"/>
            <w:shd w:val="clear" w:color="auto" w:fill="F5F8FC"/>
          </w:tcPr>
          <w:p>
            <w:pPr>
              <w:keepNext/>
              <w:keepLines/>
              <w:spacing w:after="0"/>
            </w:pPr>
            <w:r/>
            <w:r>
              <w:rPr>
                <w:rFonts w:ascii="Arial" w:hAnsi="Arial"/>
                <w:b w:val="0"/>
                <w:color w:val="111827"/>
                <w:sz w:val="18"/>
              </w:rPr>
              <w:t>A vague prompt makes the agent take extra steps — more turns, more tokens, more cost and delay</w:t>
            </w:r>
          </w:p>
        </w:tc>
      </w:tr>
      <w:tr>
        <w:trPr>
          <w:cantSplit/>
        </w:trPr>
        <w:tc>
          <w:tcPr>
            <w:tcW w:type="dxa" w:w="4320"/>
          </w:tcPr>
          <w:p>
            <w:pPr>
              <w:keepNext w:val="0"/>
              <w:keepLines/>
              <w:spacing w:after="0"/>
            </w:pPr>
            <w:r/>
            <w:r>
              <w:rPr>
                <w:rFonts w:ascii="Arial" w:hAnsi="Arial"/>
                <w:b/>
                <w:color w:val="111827"/>
                <w:sz w:val="18"/>
              </w:rPr>
              <w:t>The takeaway</w:t>
            </w:r>
          </w:p>
        </w:tc>
        <w:tc>
          <w:tcPr>
            <w:tcW w:type="dxa" w:w="4320"/>
          </w:tcPr>
          <w:p>
            <w:pPr>
              <w:keepNext w:val="0"/>
              <w:keepLines/>
              <w:spacing w:after="0"/>
            </w:pPr>
            <w:r/>
            <w:r>
              <w:rPr>
                <w:rFonts w:ascii="Arial" w:hAnsi="Arial"/>
                <w:b w:val="0"/>
                <w:color w:val="111827"/>
                <w:sz w:val="18"/>
              </w:rPr>
              <w:t>Prompt engineering matters MORE with agents: a clear brief up front saves a whole loop of rework</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Discuss: think back to your bad-vs-good prompts — how many extra agent steps did the vague one cause?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85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86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91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Real Singapore cases drive the discussion — building to the key AI challenges every business must manage.</w:t>
      </w:r>
    </w:p>
    <w:p>
      <w:pPr>
        <w:keepNext/>
        <w:keepLines/>
        <w:spacing w:after="100"/>
        <w:ind w:left="576" w:hanging="576"/>
      </w:pPr>
      <w:r>
        <w:rPr>
          <w:rFonts w:ascii="Arial" w:hAnsi="Arial"/>
          <w:b/>
          <w:color w:val="1F6FEB"/>
          <w:sz w:val="21"/>
        </w:rPr>
        <w:t xml:space="preserve">1.  </w:t>
      </w:r>
      <w:r>
        <w:rPr>
          <w:rFonts w:ascii="Arial" w:hAnsi="Arial"/>
          <w:color w:val="111827"/>
          <w:sz w:val="21"/>
        </w:rPr>
        <w:t>Data governance &amp; accountability</w:t>
      </w:r>
    </w:p>
    <w:p>
      <w:pPr>
        <w:keepNext/>
        <w:keepLines/>
        <w:spacing w:after="100"/>
        <w:ind w:left="576" w:hanging="576"/>
      </w:pPr>
      <w:r>
        <w:rPr>
          <w:rFonts w:ascii="Arial" w:hAnsi="Arial"/>
          <w:b/>
          <w:color w:val="1F6FEB"/>
          <w:sz w:val="21"/>
        </w:rPr>
        <w:t xml:space="preserve">2.  </w:t>
      </w:r>
      <w:r>
        <w:rPr>
          <w:rFonts w:ascii="Arial" w:hAnsi="Arial"/>
          <w:color w:val="111827"/>
          <w:sz w:val="21"/>
        </w:rPr>
        <w:t>Brand damage</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Cybersecurity &amp; safe rollout</w:t>
      </w:r>
    </w:p>
    <w:p>
      <w:pPr>
        <w:keepNext w:val="0"/>
        <w:keepLines/>
        <w:spacing w:after="100"/>
        <w:ind w:left="576" w:hanging="576"/>
      </w:pPr>
      <w:r>
        <w:rPr>
          <w:rFonts w:ascii="Arial" w:hAnsi="Arial"/>
          <w:b/>
          <w:color w:val="1F6FEB"/>
          <w:sz w:val="21"/>
        </w:rPr>
        <w:t xml:space="preserve">5.  </w:t>
      </w:r>
      <w:r>
        <w:rPr>
          <w:rFonts w:ascii="Arial" w:hAnsi="Arial"/>
          <w:color w:val="111827"/>
          <w:sz w:val="21"/>
        </w:rPr>
        <w:t>The key challenges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Real Singapore cases drive the discussion — building to the key AI challenges every business must manage.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Discussion Point 1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1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94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Discussion Point 2 — Brand Damage from Generative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2 — Brand Damage from Generative AI”.</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temptation</w:t>
            </w:r>
          </w:p>
        </w:tc>
        <w:tc>
          <w:tcPr>
            <w:tcW w:type="dxa" w:w="4320"/>
            <w:shd w:val="clear" w:color="auto" w:fill="F5F8FC"/>
          </w:tcPr>
          <w:p>
            <w:pPr>
              <w:keepNext/>
              <w:keepLines/>
              <w:spacing w:after="0"/>
            </w:pPr>
            <w:r/>
            <w:r>
              <w:rPr>
                <w:rFonts w:ascii="Arial" w:hAnsi="Arial"/>
                <w:b w:val="0"/>
                <w:color w:val="111827"/>
                <w:sz w:val="18"/>
              </w:rPr>
              <w:t>AI can make an ad or a campaign in 24–48 hours, from about S$1,000</w:t>
            </w:r>
          </w:p>
        </w:tc>
      </w:tr>
      <w:tr>
        <w:trPr>
          <w:cantSplit/>
        </w:trPr>
        <w:tc>
          <w:tcPr>
            <w:tcW w:type="dxa" w:w="4320"/>
          </w:tcPr>
          <w:p>
            <w:pPr>
              <w:keepNext/>
              <w:keepLines/>
              <w:spacing w:after="0"/>
            </w:pPr>
            <w:r/>
            <w:r>
              <w:rPr>
                <w:rFonts w:ascii="Arial" w:hAnsi="Arial"/>
                <w:b/>
                <w:color w:val="111827"/>
                <w:sz w:val="18"/>
              </w:rPr>
              <w:t>The risk</w:t>
            </w:r>
          </w:p>
        </w:tc>
        <w:tc>
          <w:tcPr>
            <w:tcW w:type="dxa" w:w="4320"/>
          </w:tcPr>
          <w:p>
            <w:pPr>
              <w:keepNext/>
              <w:keepLines/>
              <w:spacing w:after="0"/>
            </w:pPr>
            <w:r/>
            <w:r>
              <w:rPr>
                <w:rFonts w:ascii="Arial" w:hAnsi="Arial"/>
                <w:b w:val="0"/>
                <w:color w:val="111827"/>
                <w:sz w:val="18"/>
              </w:rPr>
              <w:t>A cheap or misleading AI ad can read as low-effort and hurt the brand</w:t>
            </w:r>
          </w:p>
        </w:tc>
      </w:tr>
      <w:tr>
        <w:trPr>
          <w:cantSplit/>
        </w:trPr>
        <w:tc>
          <w:tcPr>
            <w:tcW w:type="dxa" w:w="4320"/>
            <w:shd w:val="clear" w:color="auto" w:fill="F5F8FC"/>
          </w:tcPr>
          <w:p>
            <w:pPr>
              <w:keepNext w:val="0"/>
              <w:keepLines/>
              <w:spacing w:after="0"/>
            </w:pPr>
            <w:r/>
            <w:r>
              <w:rPr>
                <w:rFonts w:ascii="Arial" w:hAnsi="Arial"/>
                <w:b/>
                <w:color w:val="111827"/>
                <w:sz w:val="18"/>
              </w:rPr>
              <w:t>Who feels it most</w:t>
            </w:r>
          </w:p>
        </w:tc>
        <w:tc>
          <w:tcPr>
            <w:tcW w:type="dxa" w:w="4320"/>
            <w:shd w:val="clear" w:color="auto" w:fill="F5F8FC"/>
          </w:tcPr>
          <w:p>
            <w:pPr>
              <w:keepNext w:val="0"/>
              <w:keepLines/>
              <w:spacing w:after="0"/>
            </w:pPr>
            <w:r/>
            <w:r>
              <w:rPr>
                <w:rFonts w:ascii="Arial" w:hAnsi="Arial"/>
                <w:b w:val="0"/>
                <w:color w:val="111827"/>
                <w:sz w:val="18"/>
              </w:rPr>
              <w:t>Big and luxury brands — the backlash is sharpest for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Case — Gen-AI Ads Flood Singapore, and Could Backfire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The table below is easier to recall once you see the pattern behind it. CNA, 24 Aug 2026. An industry-wide risk, not one named failure — the harm is to trust, authenticity and brand equity.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is happening</w:t>
            </w:r>
          </w:p>
        </w:tc>
        <w:tc>
          <w:tcPr>
            <w:tcW w:type="dxa" w:w="4320"/>
            <w:shd w:val="clear" w:color="auto" w:fill="1F6FEB"/>
          </w:tcPr>
          <w:p>
            <w:pPr>
              <w:keepNext/>
              <w:keepLines/>
            </w:pPr>
            <w:r/>
            <w:r>
              <w:rPr>
                <w:rFonts w:ascii="Arial" w:hAnsi="Arial"/>
                <w:b/>
                <w:color w:val="FFFFFF"/>
                <w:sz w:val="19"/>
              </w:rPr>
              <w:t>The warning</w:t>
            </w:r>
          </w:p>
        </w:tc>
      </w:tr>
      <w:tr>
        <w:trPr>
          <w:cantSplit/>
        </w:trPr>
        <w:tc>
          <w:tcPr>
            <w:tcW w:type="dxa" w:w="4320"/>
            <w:shd w:val="clear" w:color="auto" w:fill="F5F8FC"/>
          </w:tcPr>
          <w:p>
            <w:pPr>
              <w:keepNext/>
              <w:keepLines/>
              <w:spacing w:after="0"/>
            </w:pPr>
            <w:r/>
            <w:r>
              <w:rPr>
                <w:rFonts w:ascii="Arial" w:hAnsi="Arial"/>
                <w:b/>
                <w:color w:val="111827"/>
                <w:sz w:val="18"/>
              </w:rPr>
              <w:t>AI ad demand in Singapore is up 4–5x; half of advertisers already use gen-AI for video</w:t>
            </w:r>
          </w:p>
        </w:tc>
        <w:tc>
          <w:tcPr>
            <w:tcW w:type="dxa" w:w="4320"/>
            <w:shd w:val="clear" w:color="auto" w:fill="F5F8FC"/>
          </w:tcPr>
          <w:p>
            <w:pPr>
              <w:keepNext/>
              <w:keepLines/>
              <w:spacing w:after="0"/>
            </w:pPr>
            <w:r/>
            <w:r>
              <w:rPr>
                <w:rFonts w:ascii="Arial" w:hAnsi="Arial"/>
                <w:b w:val="0"/>
                <w:color w:val="111827"/>
                <w:sz w:val="18"/>
              </w:rPr>
              <w:t>'Using AI will not necessarily damage a brand. Using it poorly can.' (SMU Prof Sabine Benoit)</w:t>
            </w:r>
          </w:p>
        </w:tc>
      </w:tr>
      <w:tr>
        <w:trPr>
          <w:cantSplit/>
        </w:trPr>
        <w:tc>
          <w:tcPr>
            <w:tcW w:type="dxa" w:w="4320"/>
          </w:tcPr>
          <w:p>
            <w:pPr>
              <w:keepNext/>
              <w:keepLines/>
              <w:spacing w:after="0"/>
            </w:pPr>
            <w:r/>
            <w:r>
              <w:rPr>
                <w:rFonts w:ascii="Arial" w:hAnsi="Arial"/>
                <w:b/>
                <w:color w:val="111827"/>
                <w:sz w:val="18"/>
              </w:rPr>
              <w:t>Virtual influencers and AI livestream avatars are replacing human hosts</w:t>
            </w:r>
          </w:p>
        </w:tc>
        <w:tc>
          <w:tcPr>
            <w:tcW w:type="dxa" w:w="4320"/>
          </w:tcPr>
          <w:p>
            <w:pPr>
              <w:keepNext/>
              <w:keepLines/>
              <w:spacing w:after="0"/>
            </w:pPr>
            <w:r/>
            <w:r>
              <w:rPr>
                <w:rFonts w:ascii="Arial" w:hAnsi="Arial"/>
                <w:b w:val="0"/>
                <w:color w:val="111827"/>
                <w:sz w:val="18"/>
              </w:rPr>
              <w:t>Virtual influencers can 'give people the creeps' and breed mistrust (NUS Assoc Prof Ang Swee Hoon)</w:t>
            </w:r>
          </w:p>
        </w:tc>
      </w:tr>
      <w:tr>
        <w:trPr>
          <w:cantSplit/>
        </w:trPr>
        <w:tc>
          <w:tcPr>
            <w:tcW w:type="dxa" w:w="4320"/>
            <w:shd w:val="clear" w:color="auto" w:fill="F5F8FC"/>
          </w:tcPr>
          <w:p>
            <w:pPr>
              <w:keepNext/>
              <w:keepLines/>
              <w:spacing w:after="0"/>
            </w:pPr>
            <w:r/>
            <w:r>
              <w:rPr>
                <w:rFonts w:ascii="Arial" w:hAnsi="Arial"/>
                <w:b/>
                <w:color w:val="111827"/>
                <w:sz w:val="18"/>
              </w:rPr>
              <w:t>Luxury and global brands are adopting AI ads to cut cost</w:t>
            </w:r>
          </w:p>
        </w:tc>
        <w:tc>
          <w:tcPr>
            <w:tcW w:type="dxa" w:w="4320"/>
            <w:shd w:val="clear" w:color="auto" w:fill="F5F8FC"/>
          </w:tcPr>
          <w:p>
            <w:pPr>
              <w:keepNext/>
              <w:keepLines/>
              <w:spacing w:after="0"/>
            </w:pPr>
            <w:r/>
            <w:r>
              <w:rPr>
                <w:rFonts w:ascii="Arial" w:hAnsi="Arial"/>
                <w:b w:val="0"/>
                <w:color w:val="111827"/>
                <w:sz w:val="18"/>
              </w:rPr>
              <w:t>Seen as 'lacking effort' and 'less authentic'; 'not all publicity is good publicity'</w:t>
            </w:r>
          </w:p>
        </w:tc>
      </w:tr>
      <w:tr>
        <w:trPr>
          <w:cantSplit/>
        </w:trPr>
        <w:tc>
          <w:tcPr>
            <w:tcW w:type="dxa" w:w="4320"/>
          </w:tcPr>
          <w:p>
            <w:pPr>
              <w:keepNext w:val="0"/>
              <w:keepLines/>
              <w:spacing w:after="0"/>
            </w:pPr>
            <w:r/>
            <w:r>
              <w:rPr>
                <w:rFonts w:ascii="Arial" w:hAnsi="Arial"/>
                <w:b/>
                <w:color w:val="111827"/>
                <w:sz w:val="18"/>
              </w:rPr>
              <w:t>Regulators are watching</w:t>
            </w:r>
          </w:p>
        </w:tc>
        <w:tc>
          <w:tcPr>
            <w:tcW w:type="dxa" w:w="4320"/>
          </w:tcPr>
          <w:p>
            <w:pPr>
              <w:keepNext w:val="0"/>
              <w:keepLines/>
              <w:spacing w:after="0"/>
            </w:pPr>
            <w:r/>
            <w:r>
              <w:rPr>
                <w:rFonts w:ascii="Arial" w:hAnsi="Arial"/>
                <w:b w:val="0"/>
                <w:color w:val="111827"/>
                <w:sz w:val="18"/>
              </w:rPr>
              <w:t>ASAS: 'Disclosure of the use of AI alone does not whitewash this issue'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CNA, 24 Aug 2026. An industry-wide risk, not one named failure — the harm is to trust, authenticity and brand equity.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Why AI Content Can Damage a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Read the points below as the few things worth remembering about “Why AI Content Can Damage a Brand”.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Signals low effort</w:t>
            </w:r>
          </w:p>
        </w:tc>
        <w:tc>
          <w:tcPr>
            <w:tcW w:type="dxa" w:w="4320"/>
            <w:shd w:val="clear" w:color="auto" w:fill="F5F8FC"/>
          </w:tcPr>
          <w:p>
            <w:pPr>
              <w:keepNext/>
              <w:keepLines/>
              <w:spacing w:after="0"/>
            </w:pPr>
            <w:r/>
            <w:r>
              <w:rPr>
                <w:rFonts w:ascii="Arial" w:hAnsi="Arial"/>
                <w:b w:val="0"/>
                <w:color w:val="111827"/>
                <w:sz w:val="18"/>
              </w:rPr>
              <w:t>'The company hasn't put much effort into the product'</w:t>
            </w:r>
          </w:p>
        </w:tc>
      </w:tr>
      <w:tr>
        <w:trPr>
          <w:cantSplit/>
        </w:trPr>
        <w:tc>
          <w:tcPr>
            <w:tcW w:type="dxa" w:w="4320"/>
          </w:tcPr>
          <w:p>
            <w:pPr>
              <w:keepNext/>
              <w:keepLines/>
              <w:spacing w:after="0"/>
            </w:pPr>
            <w:r/>
            <w:r>
              <w:rPr>
                <w:rFonts w:ascii="Arial" w:hAnsi="Arial"/>
                <w:b/>
                <w:color w:val="111827"/>
                <w:sz w:val="18"/>
              </w:rPr>
              <w:t>Feels inauthentic</w:t>
            </w:r>
          </w:p>
        </w:tc>
        <w:tc>
          <w:tcPr>
            <w:tcW w:type="dxa" w:w="4320"/>
          </w:tcPr>
          <w:p>
            <w:pPr>
              <w:keepNext/>
              <w:keepLines/>
              <w:spacing w:after="0"/>
            </w:pPr>
            <w:r/>
            <w:r>
              <w:rPr>
                <w:rFonts w:ascii="Arial" w:hAnsi="Arial"/>
                <w:b w:val="0"/>
                <w:color w:val="111827"/>
                <w:sz w:val="18"/>
              </w:rPr>
              <w:t>Synthetic faces and voices erode trust and connection</w:t>
            </w:r>
          </w:p>
        </w:tc>
      </w:tr>
      <w:tr>
        <w:trPr>
          <w:cantSplit/>
        </w:trPr>
        <w:tc>
          <w:tcPr>
            <w:tcW w:type="dxa" w:w="4320"/>
            <w:shd w:val="clear" w:color="auto" w:fill="F5F8FC"/>
          </w:tcPr>
          <w:p>
            <w:pPr>
              <w:keepNext/>
              <w:keepLines/>
              <w:spacing w:after="0"/>
            </w:pPr>
            <w:r/>
            <w:r>
              <w:rPr>
                <w:rFonts w:ascii="Arial" w:hAnsi="Arial"/>
                <w:b/>
                <w:color w:val="111827"/>
                <w:sz w:val="18"/>
              </w:rPr>
              <w:t>Ethical shadow</w:t>
            </w:r>
          </w:p>
        </w:tc>
        <w:tc>
          <w:tcPr>
            <w:tcW w:type="dxa" w:w="4320"/>
            <w:shd w:val="clear" w:color="auto" w:fill="F5F8FC"/>
          </w:tcPr>
          <w:p>
            <w:pPr>
              <w:keepNext/>
              <w:keepLines/>
              <w:spacing w:after="0"/>
            </w:pPr>
            <w:r/>
            <w:r>
              <w:rPr>
                <w:rFonts w:ascii="Arial" w:hAnsi="Arial"/>
                <w:b w:val="0"/>
                <w:color w:val="111827"/>
                <w:sz w:val="18"/>
              </w:rPr>
              <w:t>Models trained on creators' work 'without their consent' — a visible symbol of unfairness</w:t>
            </w:r>
          </w:p>
        </w:tc>
      </w:tr>
      <w:tr>
        <w:trPr>
          <w:cantSplit/>
        </w:trPr>
        <w:tc>
          <w:tcPr>
            <w:tcW w:type="dxa" w:w="4320"/>
          </w:tcPr>
          <w:p>
            <w:pPr>
              <w:keepNext w:val="0"/>
              <w:keepLines/>
              <w:spacing w:after="0"/>
            </w:pPr>
            <w:r/>
            <w:r>
              <w:rPr>
                <w:rFonts w:ascii="Arial" w:hAnsi="Arial"/>
                <w:b/>
                <w:color w:val="111827"/>
                <w:sz w:val="18"/>
              </w:rPr>
              <w:t>Backlash is costly</w:t>
            </w:r>
          </w:p>
        </w:tc>
        <w:tc>
          <w:tcPr>
            <w:tcW w:type="dxa" w:w="4320"/>
          </w:tcPr>
          <w:p>
            <w:pPr>
              <w:keepNext w:val="0"/>
              <w:keepLines/>
              <w:spacing w:after="0"/>
            </w:pPr>
            <w:r/>
            <w:r>
              <w:rPr>
                <w:rFonts w:ascii="Arial" w:hAnsi="Arial"/>
                <w:b w:val="0"/>
                <w:color w:val="111827"/>
                <w:sz w:val="18"/>
              </w:rPr>
              <w:t>Negative buzz can force an ad down — the campaign fails its objective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103 — Discuss &amp; Debrief — Protecting the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“Discuss &amp; Debrief — Protecting the Brand” is best understood as a sequence — the steps below run in order. Each step feeds the next, so a problem early on shows up later in the chain — which is exactly why the order is worth learning. Debrief: authenticity, disclosure, human sign-off and knowing which content should never be fully synthetic.</w:t>
      </w:r>
    </w:p>
    <w:p>
      <w:pPr>
        <w:keepNext/>
        <w:keepLines/>
        <w:spacing w:after="100"/>
        <w:ind w:left="576" w:hanging="576"/>
      </w:pPr>
      <w:r>
        <w:rPr>
          <w:rFonts w:ascii="Arial" w:hAnsi="Arial"/>
          <w:b/>
          <w:color w:val="1F6FEB"/>
          <w:sz w:val="21"/>
        </w:rPr>
        <w:t xml:space="preserve">1.  </w:t>
      </w:r>
      <w:r>
        <w:rPr>
          <w:rFonts w:ascii="Arial" w:hAnsi="Arial"/>
          <w:color w:val="111827"/>
          <w:sz w:val="21"/>
        </w:rPr>
        <w:t>When is AI content fine — and when is it a risk?</w:t>
      </w:r>
    </w:p>
    <w:p>
      <w:pPr>
        <w:keepNext/>
        <w:keepLines/>
        <w:spacing w:after="100"/>
        <w:ind w:left="576" w:hanging="576"/>
      </w:pPr>
      <w:r>
        <w:rPr>
          <w:rFonts w:ascii="Arial" w:hAnsi="Arial"/>
          <w:b/>
          <w:color w:val="1F6FEB"/>
          <w:sz w:val="21"/>
        </w:rPr>
        <w:t xml:space="preserve">2.  </w:t>
      </w:r>
      <w:r>
        <w:rPr>
          <w:rFonts w:ascii="Arial" w:hAnsi="Arial"/>
          <w:color w:val="111827"/>
          <w:sz w:val="21"/>
        </w:rPr>
        <w:t>Should you disclose that an ad is AI-made?</w:t>
      </w:r>
    </w:p>
    <w:p>
      <w:pPr>
        <w:keepNext/>
        <w:keepLines/>
        <w:spacing w:after="100"/>
        <w:ind w:left="576" w:hanging="576"/>
      </w:pPr>
      <w:r>
        <w:rPr>
          <w:rFonts w:ascii="Arial" w:hAnsi="Arial"/>
          <w:b/>
          <w:color w:val="1F6FEB"/>
          <w:sz w:val="21"/>
        </w:rPr>
        <w:t xml:space="preserve">3.  </w:t>
      </w:r>
      <w:r>
        <w:rPr>
          <w:rFonts w:ascii="Arial" w:hAnsi="Arial"/>
          <w:color w:val="111827"/>
          <w:sz w:val="21"/>
        </w:rPr>
        <w:t>What review would catch a brand-damaging ad first?</w:t>
      </w:r>
    </w:p>
    <w:p>
      <w:pPr>
        <w:keepNext w:val="0"/>
        <w:keepLines/>
        <w:spacing w:after="100"/>
        <w:ind w:left="576" w:hanging="576"/>
      </w:pPr>
      <w:r>
        <w:rPr>
          <w:rFonts w:ascii="Arial" w:hAnsi="Arial"/>
          <w:b/>
          <w:color w:val="1F6FEB"/>
          <w:sz w:val="21"/>
        </w:rPr>
        <w:t xml:space="preserve">4.  </w:t>
      </w:r>
      <w:r>
        <w:rPr>
          <w:rFonts w:ascii="Arial" w:hAnsi="Arial"/>
          <w:color w:val="111827"/>
          <w:sz w:val="21"/>
        </w:rPr>
        <w:t>Write one brand-safe-AI rule for your team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Debrief: authenticity, disclosure, human sign-off and knowing which content should never be fully synthetic.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Discussion Point 3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3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Numbers Give Perspective” is worth a closer look. WEF Future of Jobs 2025: +170M new and −92M displaced by 2030 — a net gain of ~78M, with 39% of core skills changing.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WEF Future of Jobs 2025: +170M new and −92M displaced by 2030 — a net gain of ~78M, with 39% of core skills changing.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113 — The Singapore Reality — Fast on AI, Slower on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S61 — The Straits Times / CPA Australia — Singapore businesses lead in AI and data adoption but face cybersecurity challenges (1 Dec 2025)</w:t>
            </w:r>
          </w:p>
        </w:tc>
      </w:tr>
    </w:tbl>
    <w:p>
      <w:pPr>
        <w:spacing w:after="80"/>
      </w:pPr>
    </w:p>
    <w:p>
      <w:pPr>
        <w:spacing w:after="160"/>
      </w:pPr>
      <w:r>
        <w:rPr>
          <w:rFonts w:ascii="Arial" w:hAnsi="Arial"/>
          <w:b w:val="0"/>
          <w:i w:val="0"/>
          <w:color w:val="111827"/>
          <w:sz w:val="22"/>
        </w:rPr>
        <w:t>“The Singapore Reality — Fast on AI, Slower on Security” is worth a closer look. CPA Australia Business Technology Survey, 1,117 respondents, Jul–Sep 2025. Adoption races ahead of security — and AI-enabled threats (phishing, deepfakes) make the gap worse.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CPA Australia Business Technology Survey, 1,117 respondents, Jul–Sep 2025. Adoption races ahead of security — and AI-enabled threats (phishing, deepfakes) make the gap worse.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Discussion Point 4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4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121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123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124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125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126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127 — Case — Testing AI Before You Trust It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S62 — Tricentis — QA trends 2026: AI, agents and the future of testing (5 Jan 2026)</w:t>
            </w:r>
          </w:p>
        </w:tc>
      </w:tr>
    </w:tbl>
    <w:p>
      <w:pPr>
        <w:spacing w:after="80"/>
      </w:pPr>
    </w:p>
    <w:p>
      <w:pPr>
        <w:spacing w:after="160"/>
      </w:pPr>
      <w:r>
        <w:rPr>
          <w:rFonts w:ascii="Arial" w:hAnsi="Arial"/>
          <w:b w:val="0"/>
          <w:i w:val="0"/>
          <w:color w:val="111827"/>
          <w:sz w:val="22"/>
        </w:rPr>
        <w:t>Read the points below as the few things worth remembering about “Case — Testing AI Before You Trust It”. Tricentis QA trends, Jan 2026. AI is probabilistic, not deterministic — verify before you rely on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gap</w:t>
            </w:r>
          </w:p>
        </w:tc>
        <w:tc>
          <w:tcPr>
            <w:tcW w:type="dxa" w:w="4320"/>
            <w:shd w:val="clear" w:color="auto" w:fill="F5F8FC"/>
          </w:tcPr>
          <w:p>
            <w:pPr>
              <w:keepNext/>
              <w:keepLines/>
              <w:spacing w:after="0"/>
            </w:pPr>
            <w:r/>
            <w:r>
              <w:rPr>
                <w:rFonts w:ascii="Arial" w:hAnsi="Arial"/>
                <w:b w:val="0"/>
                <w:color w:val="111827"/>
                <w:sz w:val="18"/>
              </w:rPr>
              <w:t>88% of developers are not confident deploying AI-generated code (Tricentis, 2026)</w:t>
            </w:r>
          </w:p>
        </w:tc>
      </w:tr>
      <w:tr>
        <w:trPr>
          <w:cantSplit/>
        </w:trPr>
        <w:tc>
          <w:tcPr>
            <w:tcW w:type="dxa" w:w="4320"/>
          </w:tcPr>
          <w:p>
            <w:pPr>
              <w:keepNext/>
              <w:keepLines/>
              <w:spacing w:after="0"/>
            </w:pPr>
            <w:r/>
            <w:r>
              <w:rPr>
                <w:rFonts w:ascii="Arial" w:hAnsi="Arial"/>
                <w:b/>
                <w:color w:val="111827"/>
                <w:sz w:val="18"/>
              </w:rPr>
              <w:t>The failures</w:t>
            </w:r>
          </w:p>
        </w:tc>
        <w:tc>
          <w:tcPr>
            <w:tcW w:type="dxa" w:w="4320"/>
          </w:tcPr>
          <w:p>
            <w:pPr>
              <w:keepNext/>
              <w:keepLines/>
              <w:spacing w:after="0"/>
            </w:pPr>
            <w:r/>
            <w:r>
              <w:rPr>
                <w:rFonts w:ascii="Arial" w:hAnsi="Arial"/>
                <w:b w:val="0"/>
                <w:color w:val="111827"/>
                <w:sz w:val="18"/>
              </w:rPr>
              <w:t>95% of AI pilots fail for lack of guardrails; 60% of those are preventable compliance issues</w:t>
            </w:r>
          </w:p>
        </w:tc>
      </w:tr>
      <w:tr>
        <w:trPr>
          <w:cantSplit/>
        </w:trPr>
        <w:tc>
          <w:tcPr>
            <w:tcW w:type="dxa" w:w="4320"/>
            <w:shd w:val="clear" w:color="auto" w:fill="F5F8FC"/>
          </w:tcPr>
          <w:p>
            <w:pPr>
              <w:keepNext w:val="0"/>
              <w:keepLines/>
              <w:spacing w:after="0"/>
            </w:pPr>
            <w:r/>
            <w:r>
              <w:rPr>
                <w:rFonts w:ascii="Arial" w:hAnsi="Arial"/>
                <w:b/>
                <w:color w:val="111827"/>
                <w:sz w:val="18"/>
              </w:rPr>
              <w:t>The fix</w:t>
            </w:r>
          </w:p>
        </w:tc>
        <w:tc>
          <w:tcPr>
            <w:tcW w:type="dxa" w:w="4320"/>
            <w:shd w:val="clear" w:color="auto" w:fill="F5F8FC"/>
          </w:tcPr>
          <w:p>
            <w:pPr>
              <w:keepNext w:val="0"/>
              <w:keepLines/>
              <w:spacing w:after="0"/>
            </w:pPr>
            <w:r/>
            <w:r>
              <w:rPr>
                <w:rFonts w:ascii="Arial" w:hAnsi="Arial"/>
                <w:b w:val="0"/>
                <w:color w:val="111827"/>
                <w:sz w:val="18"/>
              </w:rPr>
              <w:t>Make quality the 'accountability layer' — test for risk, keep a human in the loop</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Tricentis QA trends, Jan 2026. AI is probabilistic, not deterministic — verify before you rely on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128 — Positive Case — Singapore Healthcare Does It Right (AgentSea)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S63 — The Straits Times — New AgentSea platform lets public healthcare professionals create AI agents (24 Aug 2026)</w:t>
            </w:r>
          </w:p>
        </w:tc>
      </w:tr>
    </w:tbl>
    <w:p>
      <w:pPr>
        <w:spacing w:after="80"/>
      </w:pPr>
    </w:p>
    <w:p>
      <w:pPr>
        <w:spacing w:after="160"/>
      </w:pPr>
      <w:r>
        <w:rPr>
          <w:rFonts w:ascii="Arial" w:hAnsi="Arial"/>
          <w:b w:val="0"/>
          <w:i w:val="0"/>
          <w:color w:val="111827"/>
          <w:sz w:val="22"/>
        </w:rPr>
        <w:t>The table below is easier to recall once you see the pattern behind it. ST, 24 Aug 2026. 'Technological capability cannot be allowed to outpace our capability to govern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was done</w:t>
            </w:r>
          </w:p>
        </w:tc>
        <w:tc>
          <w:tcPr>
            <w:tcW w:type="dxa" w:w="4320"/>
            <w:shd w:val="clear" w:color="auto" w:fill="1F6FEB"/>
          </w:tcPr>
          <w:p>
            <w:pPr>
              <w:keepNext/>
              <w:keepLines/>
            </w:pPr>
            <w:r/>
            <w:r>
              <w:rPr>
                <w:rFonts w:ascii="Arial" w:hAnsi="Arial"/>
                <w:b/>
                <w:color w:val="FFFFFF"/>
                <w:sz w:val="19"/>
              </w:rPr>
              <w:t>Why it is responsible</w:t>
            </w:r>
          </w:p>
        </w:tc>
      </w:tr>
      <w:tr>
        <w:trPr>
          <w:cantSplit/>
        </w:trPr>
        <w:tc>
          <w:tcPr>
            <w:tcW w:type="dxa" w:w="4320"/>
            <w:shd w:val="clear" w:color="auto" w:fill="F5F8FC"/>
          </w:tcPr>
          <w:p>
            <w:pPr>
              <w:keepNext/>
              <w:keepLines/>
              <w:spacing w:after="0"/>
            </w:pPr>
            <w:r/>
            <w:r>
              <w:rPr>
                <w:rFonts w:ascii="Arial" w:hAnsi="Arial"/>
                <w:b/>
                <w:color w:val="111827"/>
                <w:sz w:val="18"/>
              </w:rPr>
              <w:t>Synapxe + AWS gave 80,000+ staff a no-code way to build AI agents</w:t>
            </w:r>
          </w:p>
        </w:tc>
        <w:tc>
          <w:tcPr>
            <w:tcW w:type="dxa" w:w="4320"/>
            <w:shd w:val="clear" w:color="auto" w:fill="F5F8FC"/>
          </w:tcPr>
          <w:p>
            <w:pPr>
              <w:keepNext/>
              <w:keepLines/>
              <w:spacing w:after="0"/>
            </w:pPr>
            <w:r/>
            <w:r>
              <w:rPr>
                <w:rFonts w:ascii="Arial" w:hAnsi="Arial"/>
                <w:b w:val="0"/>
                <w:color w:val="111827"/>
                <w:sz w:val="18"/>
              </w:rPr>
              <w:t>Governed rollout: 12,000+ agents built, 300+ shared for reuse</w:t>
            </w:r>
          </w:p>
        </w:tc>
      </w:tr>
      <w:tr>
        <w:trPr>
          <w:cantSplit/>
        </w:trPr>
        <w:tc>
          <w:tcPr>
            <w:tcW w:type="dxa" w:w="4320"/>
          </w:tcPr>
          <w:p>
            <w:pPr>
              <w:keepNext/>
              <w:keepLines/>
              <w:spacing w:after="0"/>
            </w:pPr>
            <w:r/>
            <w:r>
              <w:rPr>
                <w:rFonts w:ascii="Arial" w:hAnsi="Arial"/>
                <w:b/>
                <w:color w:val="111827"/>
                <w:sz w:val="18"/>
              </w:rPr>
              <w:t>A pre-clerking agent halved a doctor's review time</w:t>
            </w:r>
          </w:p>
        </w:tc>
        <w:tc>
          <w:tcPr>
            <w:tcW w:type="dxa" w:w="4320"/>
          </w:tcPr>
          <w:p>
            <w:pPr>
              <w:keepNext/>
              <w:keepLines/>
              <w:spacing w:after="0"/>
            </w:pPr>
            <w:r/>
            <w:r>
              <w:rPr>
                <w:rFonts w:ascii="Arial" w:hAnsi="Arial"/>
                <w:b w:val="0"/>
                <w:color w:val="111827"/>
                <w:sz w:val="18"/>
              </w:rPr>
              <w:t>'This has not replaced the need for verification or my own clinical assessment'</w:t>
            </w:r>
          </w:p>
        </w:tc>
      </w:tr>
      <w:tr>
        <w:trPr>
          <w:cantSplit/>
        </w:trPr>
        <w:tc>
          <w:tcPr>
            <w:tcW w:type="dxa" w:w="4320"/>
            <w:shd w:val="clear" w:color="auto" w:fill="F5F8FC"/>
          </w:tcPr>
          <w:p>
            <w:pPr>
              <w:keepNext w:val="0"/>
              <w:keepLines/>
              <w:spacing w:after="0"/>
            </w:pPr>
            <w:r/>
            <w:r>
              <w:rPr>
                <w:rFonts w:ascii="Arial" w:hAnsi="Arial"/>
                <w:b/>
                <w:color w:val="111827"/>
                <w:sz w:val="18"/>
              </w:rPr>
              <w:t>The platform refuses sensitive data (NRIC, card numbers)</w:t>
            </w:r>
          </w:p>
        </w:tc>
        <w:tc>
          <w:tcPr>
            <w:tcW w:type="dxa" w:w="4320"/>
            <w:shd w:val="clear" w:color="auto" w:fill="F5F8FC"/>
          </w:tcPr>
          <w:p>
            <w:pPr>
              <w:keepNext w:val="0"/>
              <w:keepLines/>
              <w:spacing w:after="0"/>
            </w:pPr>
            <w:r/>
            <w:r>
              <w:rPr>
                <w:rFonts w:ascii="Arial" w:hAnsi="Arial"/>
                <w:b w:val="0"/>
                <w:color w:val="111827"/>
                <w:sz w:val="18"/>
              </w:rPr>
              <w:t>Guardrails built in; tied to MOH's updated AI-in-Healthcare Guidelines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ST, 24 Aug 2026. 'Technological capability cannot be allowed to outpace our capability to govern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129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130 — The Key Challenges of AI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S61 — The Straits Times / CPA Australia — Singapore businesses lead in AI and data adoption but face cybersecurity challenges (1 Dec 2025), S64 — CNA — Gen-AI ads flooding the Singapore market could backfire on brands (24 Aug 2026), S46 — Moffatt v Air Canada, 2024 BCCRT 149</w:t>
            </w:r>
          </w:p>
        </w:tc>
      </w:tr>
    </w:tbl>
    <w:p>
      <w:pPr>
        <w:spacing w:after="80"/>
      </w:pPr>
    </w:p>
    <w:p>
      <w:pPr>
        <w:spacing w:after="160"/>
      </w:pPr>
      <w:r>
        <w:rPr>
          <w:rFonts w:ascii="Arial" w:hAnsi="Arial"/>
          <w:b w:val="0"/>
          <w:i w:val="0"/>
          <w:color w:val="111827"/>
          <w:sz w:val="22"/>
        </w:rPr>
        <w:t>The table below is easier to recall once you see the pattern behind it. This is the heart of LO3: the ethical, legal and business risks a Singapore organisation must manage to use AI responsibly.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Challenge</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What business must do</w:t>
            </w:r>
          </w:p>
        </w:tc>
      </w:tr>
      <w:tr>
        <w:trPr>
          <w:cantSplit/>
        </w:trPr>
        <w:tc>
          <w:tcPr>
            <w:tcW w:type="dxa" w:w="2880"/>
            <w:shd w:val="clear" w:color="auto" w:fill="F5F8FC"/>
          </w:tcPr>
          <w:p>
            <w:pPr>
              <w:keepNext/>
              <w:keepLines/>
              <w:spacing w:after="0"/>
            </w:pPr>
            <w:r/>
            <w:r>
              <w:rPr>
                <w:rFonts w:ascii="Arial" w:hAnsi="Arial"/>
                <w:b/>
                <w:color w:val="111827"/>
                <w:sz w:val="18"/>
              </w:rPr>
              <w:t>Data privacy &amp; PDPA</w:t>
            </w:r>
          </w:p>
        </w:tc>
        <w:tc>
          <w:tcPr>
            <w:tcW w:type="dxa" w:w="2880"/>
            <w:shd w:val="clear" w:color="auto" w:fill="F5F8FC"/>
          </w:tcPr>
          <w:p>
            <w:pPr>
              <w:keepNext/>
              <w:keepLines/>
              <w:spacing w:after="0"/>
            </w:pPr>
            <w:r/>
            <w:r>
              <w:rPr>
                <w:rFonts w:ascii="Arial" w:hAnsi="Arial"/>
                <w:b w:val="0"/>
                <w:color w:val="111827"/>
                <w:sz w:val="18"/>
              </w:rPr>
              <w:t>Agents read and move personal data; a leak may be notifiable</w:t>
            </w:r>
          </w:p>
        </w:tc>
        <w:tc>
          <w:tcPr>
            <w:tcW w:type="dxa" w:w="2880"/>
            <w:shd w:val="clear" w:color="auto" w:fill="F5F8FC"/>
          </w:tcPr>
          <w:p>
            <w:pPr>
              <w:keepNext/>
              <w:keepLines/>
              <w:spacing w:after="0"/>
            </w:pPr>
            <w:r/>
            <w:r>
              <w:rPr>
                <w:rFonts w:ascii="Arial" w:hAnsi="Arial"/>
                <w:b w:val="0"/>
                <w:color w:val="111827"/>
                <w:sz w:val="18"/>
              </w:rPr>
              <w:t>Minimise data, map it, meet PDPA duties</w:t>
            </w:r>
          </w:p>
        </w:tc>
      </w:tr>
      <w:tr>
        <w:trPr>
          <w:cantSplit/>
        </w:trPr>
        <w:tc>
          <w:tcPr>
            <w:tcW w:type="dxa" w:w="2880"/>
          </w:tcPr>
          <w:p>
            <w:pPr>
              <w:keepNext/>
              <w:keepLines/>
              <w:spacing w:after="0"/>
            </w:pPr>
            <w:r/>
            <w:r>
              <w:rPr>
                <w:rFonts w:ascii="Arial" w:hAnsi="Arial"/>
                <w:b/>
                <w:color w:val="111827"/>
                <w:sz w:val="18"/>
              </w:rPr>
              <w:t>Brand damage</w:t>
            </w:r>
          </w:p>
        </w:tc>
        <w:tc>
          <w:tcPr>
            <w:tcW w:type="dxa" w:w="2880"/>
          </w:tcPr>
          <w:p>
            <w:pPr>
              <w:keepNext/>
              <w:keepLines/>
              <w:spacing w:after="0"/>
            </w:pPr>
            <w:r/>
            <w:r>
              <w:rPr>
                <w:rFonts w:ascii="Arial" w:hAnsi="Arial"/>
                <w:b w:val="0"/>
                <w:color w:val="111827"/>
                <w:sz w:val="18"/>
              </w:rPr>
              <w:t>A poor or misleading AI ad erodes trust and authenticity</w:t>
            </w:r>
          </w:p>
        </w:tc>
        <w:tc>
          <w:tcPr>
            <w:tcW w:type="dxa" w:w="2880"/>
          </w:tcPr>
          <w:p>
            <w:pPr>
              <w:keepNext/>
              <w:keepLines/>
              <w:spacing w:after="0"/>
            </w:pPr>
            <w:r/>
            <w:r>
              <w:rPr>
                <w:rFonts w:ascii="Arial" w:hAnsi="Arial"/>
                <w:b w:val="0"/>
                <w:color w:val="111827"/>
                <w:sz w:val="18"/>
              </w:rPr>
              <w:t>Human sign-off; disclose; know what not to synthesise</w:t>
            </w:r>
          </w:p>
        </w:tc>
      </w:tr>
      <w:tr>
        <w:trPr>
          <w:cantSplit/>
        </w:trPr>
        <w:tc>
          <w:tcPr>
            <w:tcW w:type="dxa" w:w="2880"/>
            <w:shd w:val="clear" w:color="auto" w:fill="F5F8FC"/>
          </w:tcPr>
          <w:p>
            <w:pPr>
              <w:keepNext/>
              <w:keepLines/>
              <w:spacing w:after="0"/>
            </w:pPr>
            <w:r/>
            <w:r>
              <w:rPr>
                <w:rFonts w:ascii="Arial" w:hAnsi="Arial"/>
                <w:b/>
                <w:color w:val="111827"/>
                <w:sz w:val="18"/>
              </w:rPr>
              <w:t>Cybersecurity</w:t>
            </w:r>
          </w:p>
        </w:tc>
        <w:tc>
          <w:tcPr>
            <w:tcW w:type="dxa" w:w="2880"/>
            <w:shd w:val="clear" w:color="auto" w:fill="F5F8FC"/>
          </w:tcPr>
          <w:p>
            <w:pPr>
              <w:keepNext/>
              <w:keepLines/>
              <w:spacing w:after="0"/>
            </w:pPr>
            <w:r/>
            <w:r>
              <w:rPr>
                <w:rFonts w:ascii="Arial" w:hAnsi="Arial"/>
                <w:b w:val="0"/>
                <w:color w:val="111827"/>
                <w:sz w:val="18"/>
              </w:rPr>
              <w:t>Injection, data leaks, deepfakes — adoption outruns security</w:t>
            </w:r>
          </w:p>
        </w:tc>
        <w:tc>
          <w:tcPr>
            <w:tcW w:type="dxa" w:w="2880"/>
            <w:shd w:val="clear" w:color="auto" w:fill="F5F8FC"/>
          </w:tcPr>
          <w:p>
            <w:pPr>
              <w:keepNext/>
              <w:keepLines/>
              <w:spacing w:after="0"/>
            </w:pPr>
            <w:r/>
            <w:r>
              <w:rPr>
                <w:rFonts w:ascii="Arial" w:hAnsi="Arial"/>
                <w:b w:val="0"/>
                <w:color w:val="111827"/>
                <w:sz w:val="18"/>
              </w:rPr>
              <w:t>Contain, test and monitor before rollout</w:t>
            </w:r>
          </w:p>
        </w:tc>
      </w:tr>
      <w:tr>
        <w:trPr>
          <w:cantSplit/>
        </w:trPr>
        <w:tc>
          <w:tcPr>
            <w:tcW w:type="dxa" w:w="2880"/>
          </w:tcPr>
          <w:p>
            <w:pPr>
              <w:keepNext/>
              <w:keepLines/>
              <w:spacing w:after="0"/>
            </w:pPr>
            <w:r/>
            <w:r>
              <w:rPr>
                <w:rFonts w:ascii="Arial" w:hAnsi="Arial"/>
                <w:b/>
                <w:color w:val="111827"/>
                <w:sz w:val="18"/>
              </w:rPr>
              <w:t>Accountability</w:t>
            </w:r>
          </w:p>
        </w:tc>
        <w:tc>
          <w:tcPr>
            <w:tcW w:type="dxa" w:w="2880"/>
          </w:tcPr>
          <w:p>
            <w:pPr>
              <w:keepNext/>
              <w:keepLines/>
              <w:spacing w:after="0"/>
            </w:pPr>
            <w:r/>
            <w:r>
              <w:rPr>
                <w:rFonts w:ascii="Arial" w:hAnsi="Arial"/>
                <w:b w:val="0"/>
                <w:color w:val="111827"/>
                <w:sz w:val="18"/>
              </w:rPr>
              <w:t>When AI is wrong, who answers?</w:t>
            </w:r>
          </w:p>
        </w:tc>
        <w:tc>
          <w:tcPr>
            <w:tcW w:type="dxa" w:w="2880"/>
          </w:tcPr>
          <w:p>
            <w:pPr>
              <w:keepNext/>
              <w:keepLines/>
              <w:spacing w:after="0"/>
            </w:pPr>
            <w:r/>
            <w:r>
              <w:rPr>
                <w:rFonts w:ascii="Arial" w:hAnsi="Arial"/>
                <w:b w:val="0"/>
                <w:color w:val="111827"/>
                <w:sz w:val="18"/>
              </w:rPr>
              <w:t>A named human is always accountable, never the AI</w:t>
            </w:r>
          </w:p>
        </w:tc>
      </w:tr>
      <w:tr>
        <w:trPr>
          <w:cantSplit/>
        </w:trPr>
        <w:tc>
          <w:tcPr>
            <w:tcW w:type="dxa" w:w="2880"/>
            <w:shd w:val="clear" w:color="auto" w:fill="F5F8FC"/>
          </w:tcPr>
          <w:p>
            <w:pPr>
              <w:keepNext w:val="0"/>
              <w:keepLines/>
              <w:spacing w:after="0"/>
            </w:pPr>
            <w:r/>
            <w:r>
              <w:rPr>
                <w:rFonts w:ascii="Arial" w:hAnsi="Arial"/>
                <w:b/>
                <w:color w:val="111827"/>
                <w:sz w:val="18"/>
              </w:rPr>
              <w:t>Job impact</w:t>
            </w:r>
          </w:p>
        </w:tc>
        <w:tc>
          <w:tcPr>
            <w:tcW w:type="dxa" w:w="2880"/>
            <w:shd w:val="clear" w:color="auto" w:fill="F5F8FC"/>
          </w:tcPr>
          <w:p>
            <w:pPr>
              <w:keepNext w:val="0"/>
              <w:keepLines/>
              <w:spacing w:after="0"/>
            </w:pPr>
            <w:r/>
            <w:r>
              <w:rPr>
                <w:rFonts w:ascii="Arial" w:hAnsi="Arial"/>
                <w:b w:val="0"/>
                <w:color w:val="111827"/>
                <w:sz w:val="18"/>
              </w:rPr>
              <w:t>Tasks are automated; roles must be redesigned</w:t>
            </w:r>
          </w:p>
        </w:tc>
        <w:tc>
          <w:tcPr>
            <w:tcW w:type="dxa" w:w="2880"/>
            <w:shd w:val="clear" w:color="auto" w:fill="F5F8FC"/>
          </w:tcPr>
          <w:p>
            <w:pPr>
              <w:keepNext w:val="0"/>
              <w:keepLines/>
              <w:spacing w:after="0"/>
            </w:pPr>
            <w:r/>
            <w:r>
              <w:rPr>
                <w:rFonts w:ascii="Arial" w:hAnsi="Arial"/>
                <w:b w:val="0"/>
                <w:color w:val="111827"/>
                <w:sz w:val="18"/>
              </w:rPr>
              <w:t>Redesign jobs around directing and checking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the heart of LO3: the ethical, legal and business risks a Singapore organisation must manage to use AI responsibly.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131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132 — Adopt AI boldly — but govern the data, guard the brand, and keep a human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Adopt AI boldly — but govern the data, guard the brand, and keep a human accountable.</w:t>
            </w:r>
          </w:p>
        </w:tc>
      </w:tr>
    </w:tbl>
    <w:p>
      <w:r>
        <w:br w:type="page"/>
      </w:r>
    </w:p>
    <w:p>
      <w:pPr>
        <w:pStyle w:val="Heading2"/>
      </w:pPr>
      <w:r>
        <w:t>Slide 133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“Assessment Reminder”.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Attendance</w:t>
            </w:r>
          </w:p>
        </w:tc>
        <w:tc>
          <w:tcPr>
            <w:tcW w:type="dxa" w:w="4320"/>
            <w:shd w:val="clear" w:color="auto" w:fill="F5F8FC"/>
          </w:tcPr>
          <w:p>
            <w:pPr>
              <w:keepNext/>
              <w:keepLines/>
              <w:spacing w:after="0"/>
            </w:pPr>
            <w:r/>
            <w:r>
              <w:rPr>
                <w:rFonts w:ascii="Arial" w:hAnsi="Arial"/>
                <w:b w:val="0"/>
                <w:color w:val="111827"/>
                <w:sz w:val="18"/>
              </w:rPr>
              <w:t>Complete the required digital attendance first</w:t>
            </w:r>
          </w:p>
        </w:tc>
      </w:tr>
      <w:tr>
        <w:trPr>
          <w:cantSplit/>
        </w:trPr>
        <w:tc>
          <w:tcPr>
            <w:tcW w:type="dxa" w:w="4320"/>
          </w:tcPr>
          <w:p>
            <w:pPr>
              <w:keepNext/>
              <w:keepLines/>
              <w:spacing w:after="0"/>
            </w:pPr>
            <w:r/>
            <w:r>
              <w:rPr>
                <w:rFonts w:ascii="Arial" w:hAnsi="Arial"/>
                <w:b/>
                <w:color w:val="111827"/>
                <w:sz w:val="18"/>
              </w:rPr>
              <w:t>Open book</w:t>
            </w:r>
          </w:p>
        </w:tc>
        <w:tc>
          <w:tcPr>
            <w:tcW w:type="dxa" w:w="4320"/>
          </w:tcPr>
          <w:p>
            <w:pPr>
              <w:keepNext/>
              <w:keepLines/>
              <w:spacing w:after="0"/>
            </w:pPr>
            <w:r/>
            <w:r>
              <w:rPr>
                <w:rFonts w:ascii="Arial" w:hAnsi="Arial"/>
                <w:b w:val="0"/>
                <w:color w:val="111827"/>
                <w:sz w:val="18"/>
              </w:rPr>
              <w:t>Use the slides, Learner Guide and your own activity notes</w:t>
            </w:r>
          </w:p>
        </w:tc>
      </w:tr>
      <w:tr>
        <w:trPr>
          <w:cantSplit/>
        </w:trPr>
        <w:tc>
          <w:tcPr>
            <w:tcW w:type="dxa" w:w="4320"/>
            <w:shd w:val="clear" w:color="auto" w:fill="F5F8FC"/>
          </w:tcPr>
          <w:p>
            <w:pPr>
              <w:keepNext w:val="0"/>
              <w:keepLines/>
              <w:spacing w:after="0"/>
            </w:pPr>
            <w:r/>
            <w:r>
              <w:rPr>
                <w:rFonts w:ascii="Arial" w:hAnsi="Arial"/>
                <w:b/>
                <w:color w:val="111827"/>
                <w:sz w:val="18"/>
              </w:rPr>
              <w:t>Submit</w:t>
            </w:r>
          </w:p>
        </w:tc>
        <w:tc>
          <w:tcPr>
            <w:tcW w:type="dxa" w:w="4320"/>
            <w:shd w:val="clear" w:color="auto" w:fill="F5F8FC"/>
          </w:tcPr>
          <w:p>
            <w:pPr>
              <w:keepNext w:val="0"/>
              <w:keepLines/>
              <w:spacing w:after="0"/>
            </w:pPr>
            <w:r/>
            <w:r>
              <w:rPr>
                <w:rFonts w:ascii="Arial" w:hAnsi="Arial"/>
                <w:b w:val="0"/>
                <w:color w:val="111827"/>
                <w:sz w:val="18"/>
              </w:rPr>
              <w:t>Upload the required files on the LMS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134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136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CNN — H&amp;M to create AI 'digital twins' of models (Mar 2025)</w:t>
            </w:r>
          </w:p>
        </w:tc>
        <w:tc>
          <w:tcPr>
            <w:tcW w:type="dxa" w:w="2880"/>
            <w:shd w:val="clear" w:color="auto" w:fill="F5F8FC"/>
          </w:tcPr>
          <w:p>
            <w:pPr>
              <w:keepLines/>
              <w:spacing w:after="0"/>
            </w:pPr>
            <w:r/>
            <w:r>
              <w:rPr>
                <w:rFonts w:ascii="Arial" w:hAnsi="Arial"/>
                <w:b w:val="0"/>
                <w:color w:val="111827"/>
                <w:sz w:val="14"/>
              </w:rPr>
              <w:t>https://www.cnn.com/2025/03/28/style/h-and-m-ai-models-intl-scli</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CNN — AI models in Guess ad in Vogue's August 2025 issue</w:t>
            </w:r>
          </w:p>
        </w:tc>
        <w:tc>
          <w:tcPr>
            <w:tcW w:type="dxa" w:w="2880"/>
          </w:tcPr>
          <w:p>
            <w:pPr>
              <w:keepLines/>
              <w:spacing w:after="0"/>
            </w:pPr>
            <w:r/>
            <w:r>
              <w:rPr>
                <w:rFonts w:ascii="Arial" w:hAnsi="Arial"/>
                <w:b w:val="0"/>
                <w:color w:val="111827"/>
                <w:sz w:val="14"/>
              </w:rPr>
              <w:t>https://www.cnn.com/2025/07/31/style/vogue-ai-models-guess-campaign</w:t>
            </w:r>
          </w:p>
        </w:tc>
      </w:tr>
      <w:tr>
        <w:trPr>
          <w:cantSplit/>
        </w:trPr>
        <w:tc>
          <w:tcPr>
            <w:tcW w:type="dxa" w:w="2880"/>
            <w:shd w:val="clear" w:color="auto" w:fill="F5F8FC"/>
          </w:tcPr>
          <w:p>
            <w:pPr>
              <w:keepLines/>
              <w:spacing w:after="0"/>
            </w:pPr>
            <w:r/>
            <w:r>
              <w:rPr>
                <w:rFonts w:ascii="Arial" w:hAnsi="Arial"/>
                <w:b/>
                <w:color w:val="111827"/>
                <w:sz w:val="14"/>
              </w:rPr>
              <w:t>S24</w:t>
            </w:r>
          </w:p>
        </w:tc>
        <w:tc>
          <w:tcPr>
            <w:tcW w:type="dxa" w:w="2880"/>
            <w:shd w:val="clear" w:color="auto" w:fill="F5F8FC"/>
          </w:tcPr>
          <w:p>
            <w:pPr>
              <w:keepLines/>
              <w:spacing w:after="0"/>
            </w:pPr>
            <w:r/>
            <w:r>
              <w:rPr>
                <w:rFonts w:ascii="Arial" w:hAnsi="Arial"/>
                <w:b w:val="0"/>
                <w:color w:val="111827"/>
                <w:sz w:val="14"/>
              </w:rPr>
              <w:t>Forbes — Coca-Cola AI-generated Christmas ad, again (Nov 2025)</w:t>
            </w:r>
          </w:p>
        </w:tc>
        <w:tc>
          <w:tcPr>
            <w:tcW w:type="dxa" w:w="2880"/>
            <w:shd w:val="clear" w:color="auto" w:fill="F5F8FC"/>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tcPr>
          <w:p>
            <w:pPr>
              <w:keepLines/>
              <w:spacing w:after="0"/>
            </w:pPr>
            <w:r/>
            <w:r>
              <w:rPr>
                <w:rFonts w:ascii="Arial" w:hAnsi="Arial"/>
                <w:b/>
                <w:color w:val="111827"/>
                <w:sz w:val="14"/>
              </w:rPr>
              <w:t>S25</w:t>
            </w:r>
          </w:p>
        </w:tc>
        <w:tc>
          <w:tcPr>
            <w:tcW w:type="dxa" w:w="2880"/>
          </w:tcPr>
          <w:p>
            <w:pPr>
              <w:keepLines/>
              <w:spacing w:after="0"/>
            </w:pPr>
            <w:r/>
            <w:r>
              <w:rPr>
                <w:rFonts w:ascii="Arial" w:hAnsi="Arial"/>
                <w:b w:val="0"/>
                <w:color w:val="111827"/>
                <w:sz w:val="14"/>
              </w:rPr>
              <w:t>Klarna — AI assistant handles two-thirds of chats in first month (27 Feb 2024)</w:t>
            </w:r>
          </w:p>
        </w:tc>
        <w:tc>
          <w:tcPr>
            <w:tcW w:type="dxa" w:w="2880"/>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shd w:val="clear" w:color="auto" w:fill="F5F8FC"/>
          </w:tcPr>
          <w:p>
            <w:pPr>
              <w:keepLines/>
              <w:spacing w:after="0"/>
            </w:pPr>
            <w:r/>
            <w:r>
              <w:rPr>
                <w:rFonts w:ascii="Arial" w:hAnsi="Arial"/>
                <w:b/>
                <w:color w:val="111827"/>
                <w:sz w:val="14"/>
              </w:rPr>
              <w:t>S26</w:t>
            </w:r>
          </w:p>
        </w:tc>
        <w:tc>
          <w:tcPr>
            <w:tcW w:type="dxa" w:w="2880"/>
            <w:shd w:val="clear" w:color="auto" w:fill="F5F8FC"/>
          </w:tcPr>
          <w:p>
            <w:pPr>
              <w:keepLines/>
              <w:spacing w:after="0"/>
            </w:pPr>
            <w:r/>
            <w:r>
              <w:rPr>
                <w:rFonts w:ascii="Arial" w:hAnsi="Arial"/>
                <w:b w:val="0"/>
                <w:color w:val="111827"/>
                <w:sz w:val="14"/>
              </w:rPr>
              <w:t>Forbes — Klarna reverses on AI, re-hires human agents (May 2025)</w:t>
            </w:r>
          </w:p>
        </w:tc>
        <w:tc>
          <w:tcPr>
            <w:tcW w:type="dxa" w:w="2880"/>
            <w:shd w:val="clear" w:color="auto" w:fill="F5F8FC"/>
          </w:tcPr>
          <w:p>
            <w:pPr>
              <w:keepLines/>
              <w:spacing w:after="0"/>
            </w:pPr>
            <w:r/>
            <w:r>
              <w:rPr>
                <w:rFonts w:ascii="Arial" w:hAnsi="Arial"/>
                <w:b w:val="0"/>
                <w:color w:val="111827"/>
                <w:sz w:val="14"/>
              </w:rPr>
              <w:t>https://www.forbes.com/sites/quickerbettertech/2025/05/18/business-tech-news-klarna-reverses-on-ai-says-customers-like-talking-to-people/</w:t>
            </w:r>
          </w:p>
        </w:tc>
      </w:tr>
      <w:tr>
        <w:trPr>
          <w:cantSplit/>
        </w:trPr>
        <w:tc>
          <w:tcPr>
            <w:tcW w:type="dxa" w:w="2880"/>
          </w:tcPr>
          <w:p>
            <w:pPr>
              <w:keepLines/>
              <w:spacing w:after="0"/>
            </w:pPr>
            <w:r/>
            <w:r>
              <w:rPr>
                <w:rFonts w:ascii="Arial" w:hAnsi="Arial"/>
                <w:b/>
                <w:color w:val="111827"/>
                <w:sz w:val="14"/>
              </w:rPr>
              <w:t>S30</w:t>
            </w:r>
          </w:p>
        </w:tc>
        <w:tc>
          <w:tcPr>
            <w:tcW w:type="dxa" w:w="2880"/>
          </w:tcPr>
          <w:p>
            <w:pPr>
              <w:keepLines/>
              <w:spacing w:after="0"/>
            </w:pPr>
            <w:r/>
            <w:r>
              <w:rPr>
                <w:rFonts w:ascii="Arial" w:hAnsi="Arial"/>
                <w:b w:val="0"/>
                <w:color w:val="111827"/>
                <w:sz w:val="14"/>
              </w:rPr>
              <w:t>OpenClaw — Wikipedia (naming and adoption history)</w:t>
            </w:r>
          </w:p>
        </w:tc>
        <w:tc>
          <w:tcPr>
            <w:tcW w:type="dxa" w:w="2880"/>
          </w:tcPr>
          <w:p>
            <w:pPr>
              <w:keepLines/>
              <w:spacing w:after="0"/>
            </w:pPr>
            <w:r/>
            <w:r>
              <w:rPr>
                <w:rFonts w:ascii="Arial" w:hAnsi="Arial"/>
                <w:b w:val="0"/>
                <w:color w:val="111827"/>
                <w:sz w:val="14"/>
              </w:rPr>
              <w:t>https://en.wikipedia.org/wiki/OpenClaw</w:t>
            </w:r>
          </w:p>
        </w:tc>
      </w:tr>
      <w:tr>
        <w:trPr>
          <w:cantSplit/>
        </w:trPr>
        <w:tc>
          <w:tcPr>
            <w:tcW w:type="dxa" w:w="2880"/>
            <w:shd w:val="clear" w:color="auto" w:fill="F5F8FC"/>
          </w:tcPr>
          <w:p>
            <w:pPr>
              <w:keepLines/>
              <w:spacing w:after="0"/>
            </w:pPr>
            <w:r/>
            <w:r>
              <w:rPr>
                <w:rFonts w:ascii="Arial" w:hAnsi="Arial"/>
                <w:b/>
                <w:color w:val="111827"/>
                <w:sz w:val="14"/>
              </w:rPr>
              <w:t>S31</w:t>
            </w:r>
          </w:p>
        </w:tc>
        <w:tc>
          <w:tcPr>
            <w:tcW w:type="dxa" w:w="2880"/>
            <w:shd w:val="clear" w:color="auto" w:fill="F5F8FC"/>
          </w:tcPr>
          <w:p>
            <w:pPr>
              <w:keepLines/>
              <w:spacing w:after="0"/>
            </w:pPr>
            <w:r/>
            <w:r>
              <w:rPr>
                <w:rFonts w:ascii="Arial" w:hAnsi="Arial"/>
                <w:b w:val="0"/>
                <w:color w:val="111827"/>
                <w:sz w:val="14"/>
              </w:rPr>
              <w:t>OpenClaw — official site and docs</w:t>
            </w:r>
          </w:p>
        </w:tc>
        <w:tc>
          <w:tcPr>
            <w:tcW w:type="dxa" w:w="2880"/>
            <w:shd w:val="clear" w:color="auto" w:fill="F5F8FC"/>
          </w:tcPr>
          <w:p>
            <w:pPr>
              <w:keepLines/>
              <w:spacing w:after="0"/>
            </w:pPr>
            <w:r/>
            <w:r>
              <w:rPr>
                <w:rFonts w:ascii="Arial" w:hAnsi="Arial"/>
                <w:b w:val="0"/>
                <w:color w:val="111827"/>
                <w:sz w:val="14"/>
              </w:rPr>
              <w:t>https://docs.openclaw.ai/</w:t>
            </w:r>
          </w:p>
        </w:tc>
      </w:tr>
      <w:tr>
        <w:trPr>
          <w:cantSplit/>
        </w:trPr>
        <w:tc>
          <w:tcPr>
            <w:tcW w:type="dxa" w:w="2880"/>
          </w:tcPr>
          <w:p>
            <w:pPr>
              <w:keepLines/>
              <w:spacing w:after="0"/>
            </w:pPr>
            <w:r/>
            <w:r>
              <w:rPr>
                <w:rFonts w:ascii="Arial" w:hAnsi="Arial"/>
                <w:b/>
                <w:color w:val="111827"/>
                <w:sz w:val="14"/>
              </w:rPr>
              <w:t>S32</w:t>
            </w:r>
          </w:p>
        </w:tc>
        <w:tc>
          <w:tcPr>
            <w:tcW w:type="dxa" w:w="2880"/>
          </w:tcPr>
          <w:p>
            <w:pPr>
              <w:keepLines/>
              <w:spacing w:after="0"/>
            </w:pPr>
            <w:r/>
            <w:r>
              <w:rPr>
                <w:rFonts w:ascii="Arial" w:hAnsi="Arial"/>
                <w:b w:val="0"/>
                <w:color w:val="111827"/>
                <w:sz w:val="14"/>
              </w:rPr>
              <w:t>Peter Steinberger — GitHub (steipete)</w:t>
            </w:r>
          </w:p>
        </w:tc>
        <w:tc>
          <w:tcPr>
            <w:tcW w:type="dxa" w:w="2880"/>
          </w:tcPr>
          <w:p>
            <w:pPr>
              <w:keepLines/>
              <w:spacing w:after="0"/>
            </w:pPr>
            <w:r/>
            <w:r>
              <w:rPr>
                <w:rFonts w:ascii="Arial" w:hAnsi="Arial"/>
                <w:b w:val="0"/>
                <w:color w:val="111827"/>
                <w:sz w:val="14"/>
              </w:rPr>
              <w:t>https://github.com/steipete</w:t>
            </w:r>
          </w:p>
        </w:tc>
      </w:tr>
      <w:tr>
        <w:trPr>
          <w:cantSplit/>
        </w:trPr>
        <w:tc>
          <w:tcPr>
            <w:tcW w:type="dxa" w:w="2880"/>
            <w:shd w:val="clear" w:color="auto" w:fill="F5F8FC"/>
          </w:tcPr>
          <w:p>
            <w:pPr>
              <w:keepLines/>
              <w:spacing w:after="0"/>
            </w:pPr>
            <w:r/>
            <w:r>
              <w:rPr>
                <w:rFonts w:ascii="Arial" w:hAnsi="Arial"/>
                <w:b/>
                <w:color w:val="111827"/>
                <w:sz w:val="14"/>
              </w:rPr>
              <w:t>S33</w:t>
            </w:r>
          </w:p>
        </w:tc>
        <w:tc>
          <w:tcPr>
            <w:tcW w:type="dxa" w:w="2880"/>
            <w:shd w:val="clear" w:color="auto" w:fill="F5F8FC"/>
          </w:tcPr>
          <w:p>
            <w:pPr>
              <w:keepLines/>
              <w:spacing w:after="0"/>
            </w:pPr>
            <w:r/>
            <w:r>
              <w:rPr>
                <w:rFonts w:ascii="Arial" w:hAnsi="Arial"/>
                <w:b w:val="0"/>
                <w:color w:val="111827"/>
                <w:sz w:val="14"/>
              </w:rPr>
              <w:t>Hermes Agent (Nous Research) — documentation</w:t>
            </w:r>
          </w:p>
        </w:tc>
        <w:tc>
          <w:tcPr>
            <w:tcW w:type="dxa" w:w="2880"/>
            <w:shd w:val="clear" w:color="auto" w:fill="F5F8FC"/>
          </w:tcPr>
          <w:p>
            <w:pPr>
              <w:keepLines/>
              <w:spacing w:after="0"/>
            </w:pPr>
            <w:r/>
            <w:r>
              <w:rPr>
                <w:rFonts w:ascii="Arial" w:hAnsi="Arial"/>
                <w:b w:val="0"/>
                <w:color w:val="111827"/>
                <w:sz w:val="14"/>
              </w:rPr>
              <w:t>https://hermes-agent.nousresearch.com/docs/</w:t>
            </w:r>
          </w:p>
        </w:tc>
      </w:tr>
      <w:tr>
        <w:trPr>
          <w:cantSplit/>
        </w:trPr>
        <w:tc>
          <w:tcPr>
            <w:tcW w:type="dxa" w:w="2880"/>
          </w:tcPr>
          <w:p>
            <w:pPr>
              <w:keepLines/>
              <w:spacing w:after="0"/>
            </w:pPr>
            <w:r/>
            <w:r>
              <w:rPr>
                <w:rFonts w:ascii="Arial" w:hAnsi="Arial"/>
                <w:b/>
                <w:color w:val="111827"/>
                <w:sz w:val="14"/>
              </w:rPr>
              <w:t>S34</w:t>
            </w:r>
          </w:p>
        </w:tc>
        <w:tc>
          <w:tcPr>
            <w:tcW w:type="dxa" w:w="2880"/>
          </w:tcPr>
          <w:p>
            <w:pPr>
              <w:keepLines/>
              <w:spacing w:after="0"/>
            </w:pPr>
            <w:r/>
            <w:r>
              <w:rPr>
                <w:rFonts w:ascii="Arial" w:hAnsi="Arial"/>
                <w:b w:val="0"/>
                <w:color w:val="111827"/>
                <w:sz w:val="14"/>
              </w:rPr>
              <w:t>Hermes Agent — Desktop app user guide</w:t>
            </w:r>
          </w:p>
        </w:tc>
        <w:tc>
          <w:tcPr>
            <w:tcW w:type="dxa" w:w="2880"/>
          </w:tcPr>
          <w:p>
            <w:pPr>
              <w:keepLines/>
              <w:spacing w:after="0"/>
            </w:pPr>
            <w:r/>
            <w:r>
              <w:rPr>
                <w:rFonts w:ascii="Arial" w:hAnsi="Arial"/>
                <w:b w:val="0"/>
                <w:color w:val="111827"/>
                <w:sz w:val="14"/>
              </w:rPr>
              <w:t>https://hermes-agent.nousresearch.com/docs/user-guide/desktop</w:t>
            </w:r>
          </w:p>
        </w:tc>
      </w:tr>
      <w:tr>
        <w:trPr>
          <w:cantSplit/>
        </w:trPr>
        <w:tc>
          <w:tcPr>
            <w:tcW w:type="dxa" w:w="2880"/>
            <w:shd w:val="clear" w:color="auto" w:fill="F5F8FC"/>
          </w:tcPr>
          <w:p>
            <w:pPr>
              <w:keepLines/>
              <w:spacing w:after="0"/>
            </w:pPr>
            <w:r/>
            <w:r>
              <w:rPr>
                <w:rFonts w:ascii="Arial" w:hAnsi="Arial"/>
                <w:b/>
                <w:color w:val="111827"/>
                <w:sz w:val="14"/>
              </w:rPr>
              <w:t>S35</w:t>
            </w:r>
          </w:p>
        </w:tc>
        <w:tc>
          <w:tcPr>
            <w:tcW w:type="dxa" w:w="2880"/>
            <w:shd w:val="clear" w:color="auto" w:fill="F5F8FC"/>
          </w:tcPr>
          <w:p>
            <w:pPr>
              <w:keepLines/>
              <w:spacing w:after="0"/>
            </w:pPr>
            <w:r/>
            <w:r>
              <w:rPr>
                <w:rFonts w:ascii="Arial" w:hAnsi="Arial"/>
                <w:b w:val="0"/>
                <w:color w:val="111827"/>
                <w:sz w:val="14"/>
              </w:rPr>
              <w:t>Hermes Agent — Security</w:t>
            </w:r>
          </w:p>
        </w:tc>
        <w:tc>
          <w:tcPr>
            <w:tcW w:type="dxa" w:w="2880"/>
            <w:shd w:val="clear" w:color="auto" w:fill="F5F8FC"/>
          </w:tcPr>
          <w:p>
            <w:pPr>
              <w:keepLines/>
              <w:spacing w:after="0"/>
            </w:pPr>
            <w:r/>
            <w:r>
              <w:rPr>
                <w:rFonts w:ascii="Arial" w:hAnsi="Arial"/>
                <w:b w:val="0"/>
                <w:color w:val="111827"/>
                <w:sz w:val="14"/>
              </w:rPr>
              <w:t>https://hermes-agent.nousresearch.com/docs/user-guide/security</w:t>
            </w:r>
          </w:p>
        </w:tc>
      </w:tr>
      <w:tr>
        <w:trPr>
          <w:cantSplit/>
        </w:trPr>
        <w:tc>
          <w:tcPr>
            <w:tcW w:type="dxa" w:w="2880"/>
          </w:tcPr>
          <w:p>
            <w:pPr>
              <w:keepLines/>
              <w:spacing w:after="0"/>
            </w:pPr>
            <w:r/>
            <w:r>
              <w:rPr>
                <w:rFonts w:ascii="Arial" w:hAnsi="Arial"/>
                <w:b/>
                <w:color w:val="111827"/>
                <w:sz w:val="14"/>
              </w:rPr>
              <w:t>S36</w:t>
            </w:r>
          </w:p>
        </w:tc>
        <w:tc>
          <w:tcPr>
            <w:tcW w:type="dxa" w:w="2880"/>
          </w:tcPr>
          <w:p>
            <w:pPr>
              <w:keepLines/>
              <w:spacing w:after="0"/>
            </w:pPr>
            <w:r/>
            <w:r>
              <w:rPr>
                <w:rFonts w:ascii="Arial" w:hAnsi="Arial"/>
                <w:b w:val="0"/>
                <w:color w:val="111827"/>
                <w:sz w:val="14"/>
              </w:rPr>
              <w:t>MiniMax — MiniMax-M2 news and platform</w:t>
            </w:r>
          </w:p>
        </w:tc>
        <w:tc>
          <w:tcPr>
            <w:tcW w:type="dxa" w:w="2880"/>
          </w:tcPr>
          <w:p>
            <w:pPr>
              <w:keepLines/>
              <w:spacing w:after="0"/>
            </w:pPr>
            <w:r/>
            <w:r>
              <w:rPr>
                <w:rFonts w:ascii="Arial" w:hAnsi="Arial"/>
                <w:b w:val="0"/>
                <w:color w:val="111827"/>
                <w:sz w:val="14"/>
              </w:rPr>
              <w:t>https://www.minimax.io/news/minimax-m2</w:t>
            </w:r>
          </w:p>
        </w:tc>
      </w:tr>
      <w:tr>
        <w:trPr>
          <w:cantSplit/>
        </w:trPr>
        <w:tc>
          <w:tcPr>
            <w:tcW w:type="dxa" w:w="2880"/>
            <w:shd w:val="clear" w:color="auto" w:fill="F5F8FC"/>
          </w:tcPr>
          <w:p>
            <w:pPr>
              <w:keepLines/>
              <w:spacing w:after="0"/>
            </w:pPr>
            <w:r/>
            <w:r>
              <w:rPr>
                <w:rFonts w:ascii="Arial" w:hAnsi="Arial"/>
                <w:b/>
                <w:color w:val="111827"/>
                <w:sz w:val="14"/>
              </w:rPr>
              <w:t>S37</w:t>
            </w:r>
          </w:p>
        </w:tc>
        <w:tc>
          <w:tcPr>
            <w:tcW w:type="dxa" w:w="2880"/>
            <w:shd w:val="clear" w:color="auto" w:fill="F5F8FC"/>
          </w:tcPr>
          <w:p>
            <w:pPr>
              <w:keepLines/>
              <w:spacing w:after="0"/>
            </w:pPr>
            <w:r/>
            <w:r>
              <w:rPr>
                <w:rFonts w:ascii="Arial" w:hAnsi="Arial"/>
                <w:b w:val="0"/>
                <w:color w:val="111827"/>
                <w:sz w:val="14"/>
              </w:rPr>
              <w:t>MiniMax — platform docs (API and models)</w:t>
            </w:r>
          </w:p>
        </w:tc>
        <w:tc>
          <w:tcPr>
            <w:tcW w:type="dxa" w:w="2880"/>
            <w:shd w:val="clear" w:color="auto" w:fill="F5F8FC"/>
          </w:tcPr>
          <w:p>
            <w:pPr>
              <w:keepLines/>
              <w:spacing w:after="0"/>
            </w:pPr>
            <w:r/>
            <w:r>
              <w:rPr>
                <w:rFonts w:ascii="Arial" w:hAnsi="Arial"/>
                <w:b w:val="0"/>
                <w:color w:val="111827"/>
                <w:sz w:val="14"/>
              </w:rPr>
              <w:t>https://platform.minimax.io/docs/guides/text-generation</w:t>
            </w:r>
          </w:p>
        </w:tc>
      </w:tr>
      <w:tr>
        <w:trPr>
          <w:cantSplit/>
        </w:trPr>
        <w:tc>
          <w:tcPr>
            <w:tcW w:type="dxa" w:w="2880"/>
          </w:tcPr>
          <w:p>
            <w:pPr>
              <w:keepLines/>
              <w:spacing w:after="0"/>
            </w:pPr>
            <w:r/>
            <w:r>
              <w:rPr>
                <w:rFonts w:ascii="Arial" w:hAnsi="Arial"/>
                <w:b/>
                <w:color w:val="111827"/>
                <w:sz w:val="14"/>
              </w:rPr>
              <w:t>S40</w:t>
            </w:r>
          </w:p>
        </w:tc>
        <w:tc>
          <w:tcPr>
            <w:tcW w:type="dxa" w:w="2880"/>
          </w:tcPr>
          <w:p>
            <w:pPr>
              <w:keepLines/>
              <w:spacing w:after="0"/>
            </w:pPr>
            <w:r/>
            <w:r>
              <w:rPr>
                <w:rFonts w:ascii="Arial" w:hAnsi="Arial"/>
                <w:b w:val="0"/>
                <w:color w:val="111827"/>
                <w:sz w:val="14"/>
              </w:rPr>
              <w:t>IMDA Model AI Governance Framework for Generative AI</w:t>
            </w:r>
          </w:p>
        </w:tc>
        <w:tc>
          <w:tcPr>
            <w:tcW w:type="dxa" w:w="2880"/>
          </w:tcPr>
          <w:p>
            <w:pPr>
              <w:keepLines/>
              <w:spacing w:after="0"/>
            </w:pPr>
            <w:r/>
            <w:r>
              <w:rPr>
                <w:rFonts w:ascii="Arial" w:hAnsi="Arial"/>
                <w:b w:val="0"/>
                <w:color w:val="111827"/>
                <w:sz w:val="14"/>
              </w:rPr>
              <w:t>https://aiverifyfoundation.sg/resources/mgf-gen-ai/</w:t>
            </w:r>
          </w:p>
        </w:tc>
      </w:tr>
      <w:tr>
        <w:trPr>
          <w:cantSplit/>
        </w:trPr>
        <w:tc>
          <w:tcPr>
            <w:tcW w:type="dxa" w:w="2880"/>
            <w:shd w:val="clear" w:color="auto" w:fill="F5F8FC"/>
          </w:tcPr>
          <w:p>
            <w:pPr>
              <w:keepLines/>
              <w:spacing w:after="0"/>
            </w:pPr>
            <w:r/>
            <w:r>
              <w:rPr>
                <w:rFonts w:ascii="Arial" w:hAnsi="Arial"/>
                <w:b/>
                <w:color w:val="111827"/>
                <w:sz w:val="14"/>
              </w:rPr>
              <w:t>S41</w:t>
            </w:r>
          </w:p>
        </w:tc>
        <w:tc>
          <w:tcPr>
            <w:tcW w:type="dxa" w:w="2880"/>
            <w:shd w:val="clear" w:color="auto" w:fill="F5F8FC"/>
          </w:tcPr>
          <w:p>
            <w:pPr>
              <w:keepLines/>
              <w:spacing w:after="0"/>
            </w:pPr>
            <w:r/>
            <w:r>
              <w:rPr>
                <w:rFonts w:ascii="Arial" w:hAnsi="Arial"/>
                <w:b w:val="0"/>
                <w:color w:val="111827"/>
                <w:sz w:val="14"/>
              </w:rPr>
              <w:t>PDPC Advisory Guidelines on Key Concepts in the PDPA</w:t>
            </w:r>
          </w:p>
        </w:tc>
        <w:tc>
          <w:tcPr>
            <w:tcW w:type="dxa" w:w="2880"/>
            <w:shd w:val="clear" w:color="auto" w:fill="F5F8FC"/>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tcPr>
          <w:p>
            <w:pPr>
              <w:keepLines/>
              <w:spacing w:after="0"/>
            </w:pPr>
            <w:r/>
            <w:r>
              <w:rPr>
                <w:rFonts w:ascii="Arial" w:hAnsi="Arial"/>
                <w:b/>
                <w:color w:val="111827"/>
                <w:sz w:val="14"/>
              </w:rPr>
              <w:t>S42</w:t>
            </w:r>
          </w:p>
        </w:tc>
        <w:tc>
          <w:tcPr>
            <w:tcW w:type="dxa" w:w="2880"/>
          </w:tcPr>
          <w:p>
            <w:pPr>
              <w:keepLines/>
              <w:spacing w:after="0"/>
            </w:pPr>
            <w:r/>
            <w:r>
              <w:rPr>
                <w:rFonts w:ascii="Arial" w:hAnsi="Arial"/>
                <w:b w:val="0"/>
                <w:color w:val="111827"/>
                <w:sz w:val="14"/>
              </w:rPr>
              <w:t>PDPC Guide on Managing and Notifying Data Breaches under the PDPA</w:t>
            </w:r>
          </w:p>
        </w:tc>
        <w:tc>
          <w:tcPr>
            <w:tcW w:type="dxa" w:w="2880"/>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shd w:val="clear" w:color="auto" w:fill="F5F8FC"/>
          </w:tcPr>
          <w:p>
            <w:pPr>
              <w:keepLines/>
              <w:spacing w:after="0"/>
            </w:pPr>
            <w:r/>
            <w:r>
              <w:rPr>
                <w:rFonts w:ascii="Arial" w:hAnsi="Arial"/>
                <w:b/>
                <w:color w:val="111827"/>
                <w:sz w:val="14"/>
              </w:rPr>
              <w:t>S43</w:t>
            </w:r>
          </w:p>
        </w:tc>
        <w:tc>
          <w:tcPr>
            <w:tcW w:type="dxa" w:w="2880"/>
            <w:shd w:val="clear" w:color="auto" w:fill="F5F8FC"/>
          </w:tcPr>
          <w:p>
            <w:pPr>
              <w:keepLines/>
              <w:spacing w:after="0"/>
            </w:pPr>
            <w:r/>
            <w:r>
              <w:rPr>
                <w:rFonts w:ascii="Arial" w:hAnsi="Arial"/>
                <w:b w:val="0"/>
                <w:color w:val="111827"/>
                <w:sz w:val="14"/>
              </w:rPr>
              <w:t>OWASP Top 10 for LLM Applications</w:t>
            </w:r>
          </w:p>
        </w:tc>
        <w:tc>
          <w:tcPr>
            <w:tcW w:type="dxa" w:w="2880"/>
            <w:shd w:val="clear" w:color="auto" w:fill="F5F8FC"/>
          </w:tcPr>
          <w:p>
            <w:pPr>
              <w:keepLines/>
              <w:spacing w:after="0"/>
            </w:pPr>
            <w:r/>
            <w:r>
              <w:rPr>
                <w:rFonts w:ascii="Arial" w:hAnsi="Arial"/>
                <w:b w:val="0"/>
                <w:color w:val="111827"/>
                <w:sz w:val="14"/>
              </w:rPr>
              <w:t>https://genai.owasp.org/llm-top-10/</w:t>
            </w:r>
          </w:p>
        </w:tc>
      </w:tr>
      <w:tr>
        <w:trPr>
          <w:cantSplit/>
        </w:trPr>
        <w:tc>
          <w:tcPr>
            <w:tcW w:type="dxa" w:w="2880"/>
          </w:tcPr>
          <w:p>
            <w:pPr>
              <w:keepLines/>
              <w:spacing w:after="0"/>
            </w:pPr>
            <w:r/>
            <w:r>
              <w:rPr>
                <w:rFonts w:ascii="Arial" w:hAnsi="Arial"/>
                <w:b/>
                <w:color w:val="111827"/>
                <w:sz w:val="14"/>
              </w:rPr>
              <w:t>S44</w:t>
            </w:r>
          </w:p>
        </w:tc>
        <w:tc>
          <w:tcPr>
            <w:tcW w:type="dxa" w:w="2880"/>
          </w:tcPr>
          <w:p>
            <w:pPr>
              <w:keepLines/>
              <w:spacing w:after="0"/>
            </w:pPr>
            <w:r/>
            <w:r>
              <w:rPr>
                <w:rFonts w:ascii="Arial" w:hAnsi="Arial"/>
                <w:b w:val="0"/>
                <w:color w:val="111827"/>
                <w:sz w:val="14"/>
              </w:rPr>
              <w:t>OWASP Top 10 for Agentic Applications (2026)</w:t>
            </w:r>
          </w:p>
        </w:tc>
        <w:tc>
          <w:tcPr>
            <w:tcW w:type="dxa" w:w="2880"/>
          </w:tcPr>
          <w:p>
            <w:pPr>
              <w:keepLines/>
              <w:spacing w:after="0"/>
            </w:pPr>
            <w:r/>
            <w:r>
              <w:rPr>
                <w:rFonts w:ascii="Arial" w:hAnsi="Arial"/>
                <w:b w:val="0"/>
                <w:color w:val="111827"/>
                <w:sz w:val="14"/>
              </w:rPr>
              <w:t>https://genai.owasp.org/resource/owasp-top-10-for-agentic-applications-for-2026/</w:t>
            </w:r>
          </w:p>
        </w:tc>
      </w:tr>
      <w:tr>
        <w:trPr>
          <w:cantSplit/>
        </w:trPr>
        <w:tc>
          <w:tcPr>
            <w:tcW w:type="dxa" w:w="2880"/>
            <w:shd w:val="clear" w:color="auto" w:fill="F5F8FC"/>
          </w:tcPr>
          <w:p>
            <w:pPr>
              <w:keepLines/>
              <w:spacing w:after="0"/>
            </w:pPr>
            <w:r/>
            <w:r>
              <w:rPr>
                <w:rFonts w:ascii="Arial" w:hAnsi="Arial"/>
                <w:b/>
                <w:color w:val="111827"/>
                <w:sz w:val="14"/>
              </w:rPr>
              <w:t>S45</w:t>
            </w:r>
          </w:p>
        </w:tc>
        <w:tc>
          <w:tcPr>
            <w:tcW w:type="dxa" w:w="2880"/>
            <w:shd w:val="clear" w:color="auto" w:fill="F5F8FC"/>
          </w:tcPr>
          <w:p>
            <w:pPr>
              <w:keepLines/>
              <w:spacing w:after="0"/>
            </w:pPr>
            <w:r/>
            <w:r>
              <w:rPr>
                <w:rFonts w:ascii="Arial" w:hAnsi="Arial"/>
                <w:b w:val="0"/>
                <w:color w:val="111827"/>
                <w:sz w:val="14"/>
              </w:rPr>
              <w:t>NIST AI Risk Management Framework</w:t>
            </w:r>
          </w:p>
        </w:tc>
        <w:tc>
          <w:tcPr>
            <w:tcW w:type="dxa" w:w="2880"/>
            <w:shd w:val="clear" w:color="auto" w:fill="F5F8FC"/>
          </w:tcPr>
          <w:p>
            <w:pPr>
              <w:keepLines/>
              <w:spacing w:after="0"/>
            </w:pPr>
            <w:r/>
            <w:r>
              <w:rPr>
                <w:rFonts w:ascii="Arial" w:hAnsi="Arial"/>
                <w:b w:val="0"/>
                <w:color w:val="111827"/>
                <w:sz w:val="14"/>
              </w:rPr>
              <w:t>https://www.nist.gov/itl/ai-risk-management-framework</w:t>
            </w:r>
          </w:p>
        </w:tc>
      </w:tr>
      <w:tr>
        <w:trPr>
          <w:cantSplit/>
        </w:trPr>
        <w:tc>
          <w:tcPr>
            <w:tcW w:type="dxa" w:w="2880"/>
          </w:tcPr>
          <w:p>
            <w:pPr>
              <w:keepLines/>
              <w:spacing w:after="0"/>
            </w:pPr>
            <w:r/>
            <w:r>
              <w:rPr>
                <w:rFonts w:ascii="Arial" w:hAnsi="Arial"/>
                <w:b/>
                <w:color w:val="111827"/>
                <w:sz w:val="14"/>
              </w:rPr>
              <w:t>S46</w:t>
            </w:r>
          </w:p>
        </w:tc>
        <w:tc>
          <w:tcPr>
            <w:tcW w:type="dxa" w:w="2880"/>
          </w:tcPr>
          <w:p>
            <w:pPr>
              <w:keepLines/>
              <w:spacing w:after="0"/>
            </w:pPr>
            <w:r/>
            <w:r>
              <w:rPr>
                <w:rFonts w:ascii="Arial" w:hAnsi="Arial"/>
                <w:b w:val="0"/>
                <w:color w:val="111827"/>
                <w:sz w:val="14"/>
              </w:rPr>
              <w:t>Moffatt v Air Canada, 2024 BCCRT 149</w:t>
            </w:r>
          </w:p>
        </w:tc>
        <w:tc>
          <w:tcPr>
            <w:tcW w:type="dxa" w:w="2880"/>
          </w:tcPr>
          <w:p>
            <w:pPr>
              <w:keepLines/>
              <w:spacing w:after="0"/>
            </w:pPr>
            <w:r/>
            <w:r>
              <w:rPr>
                <w:rFonts w:ascii="Arial" w:hAnsi="Arial"/>
                <w:b w:val="0"/>
                <w:color w:val="111827"/>
                <w:sz w:val="14"/>
              </w:rPr>
              <w:t>https://www.canlii.org/en/bc/bccrt/doc/2024/2024bccrt149/2024bccrt149.html</w:t>
            </w:r>
          </w:p>
        </w:tc>
      </w:tr>
      <w:tr>
        <w:trPr>
          <w:cantSplit/>
        </w:trPr>
        <w:tc>
          <w:tcPr>
            <w:tcW w:type="dxa" w:w="2880"/>
            <w:shd w:val="clear" w:color="auto" w:fill="F5F8FC"/>
          </w:tcPr>
          <w:p>
            <w:pPr>
              <w:keepLines/>
              <w:spacing w:after="0"/>
            </w:pPr>
            <w:r/>
            <w:r>
              <w:rPr>
                <w:rFonts w:ascii="Arial" w:hAnsi="Arial"/>
                <w:b/>
                <w:color w:val="111827"/>
                <w:sz w:val="14"/>
              </w:rPr>
              <w:t>S47</w:t>
            </w:r>
          </w:p>
        </w:tc>
        <w:tc>
          <w:tcPr>
            <w:tcW w:type="dxa" w:w="2880"/>
            <w:shd w:val="clear" w:color="auto" w:fill="F5F8FC"/>
          </w:tcPr>
          <w:p>
            <w:pPr>
              <w:keepLines/>
              <w:spacing w:after="0"/>
            </w:pPr>
            <w:r/>
            <w:r>
              <w:rPr>
                <w:rFonts w:ascii="Arial" w:hAnsi="Arial"/>
                <w:b w:val="0"/>
                <w:color w:val="111827"/>
                <w:sz w:val="14"/>
              </w:rPr>
              <w:t>Replit — securing vibe coding after an agent deleted a database (Jul 2025)</w:t>
            </w:r>
          </w:p>
        </w:tc>
        <w:tc>
          <w:tcPr>
            <w:tcW w:type="dxa" w:w="2880"/>
            <w:shd w:val="clear" w:color="auto" w:fill="F5F8FC"/>
          </w:tcPr>
          <w:p>
            <w:pPr>
              <w:keepLines/>
              <w:spacing w:after="0"/>
            </w:pPr>
            <w:r/>
            <w:r>
              <w:rPr>
                <w:rFonts w:ascii="Arial" w:hAnsi="Arial"/>
                <w:b w:val="0"/>
                <w:color w:val="111827"/>
                <w:sz w:val="14"/>
              </w:rPr>
              <w:t>https://replit.com/blog/doubling-down-on-our-commitment-to-secure-vibe-coding</w:t>
            </w:r>
          </w:p>
        </w:tc>
      </w:tr>
      <w:tr>
        <w:trPr>
          <w:cantSplit/>
        </w:trPr>
        <w:tc>
          <w:tcPr>
            <w:tcW w:type="dxa" w:w="2880"/>
          </w:tcPr>
          <w:p>
            <w:pPr>
              <w:keepLines/>
              <w:spacing w:after="0"/>
            </w:pPr>
            <w:r/>
            <w:r>
              <w:rPr>
                <w:rFonts w:ascii="Arial" w:hAnsi="Arial"/>
                <w:b/>
                <w:color w:val="111827"/>
                <w:sz w:val="14"/>
              </w:rPr>
              <w:t>S48</w:t>
            </w:r>
          </w:p>
        </w:tc>
        <w:tc>
          <w:tcPr>
            <w:tcW w:type="dxa" w:w="2880"/>
          </w:tcPr>
          <w:p>
            <w:pPr>
              <w:keepLines/>
              <w:spacing w:after="0"/>
            </w:pPr>
            <w:r/>
            <w:r>
              <w:rPr>
                <w:rFonts w:ascii="Arial" w:hAnsi="Arial"/>
                <w:b w:val="0"/>
                <w:color w:val="111827"/>
                <w:sz w:val="14"/>
              </w:rPr>
              <w:t>WEF — Future of Jobs Report 2025</w:t>
            </w:r>
          </w:p>
        </w:tc>
        <w:tc>
          <w:tcPr>
            <w:tcW w:type="dxa" w:w="2880"/>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shd w:val="clear" w:color="auto" w:fill="F5F8FC"/>
          </w:tcPr>
          <w:p>
            <w:pPr>
              <w:keepLines/>
              <w:spacing w:after="0"/>
            </w:pPr>
            <w:r/>
            <w:r>
              <w:rPr>
                <w:rFonts w:ascii="Arial" w:hAnsi="Arial"/>
                <w:b/>
                <w:color w:val="111827"/>
                <w:sz w:val="14"/>
              </w:rPr>
              <w:t>S49</w:t>
            </w:r>
          </w:p>
        </w:tc>
        <w:tc>
          <w:tcPr>
            <w:tcW w:type="dxa" w:w="2880"/>
            <w:shd w:val="clear" w:color="auto" w:fill="F5F8FC"/>
          </w:tcPr>
          <w:p>
            <w:pPr>
              <w:keepLines/>
              <w:spacing w:after="0"/>
            </w:pPr>
            <w:r/>
            <w:r>
              <w:rPr>
                <w:rFonts w:ascii="Arial" w:hAnsi="Arial"/>
                <w:b w:val="0"/>
                <w:color w:val="111827"/>
                <w:sz w:val="14"/>
              </w:rPr>
              <w:t>Anthropic — the Anthropic Economic Index</w:t>
            </w:r>
          </w:p>
        </w:tc>
        <w:tc>
          <w:tcPr>
            <w:tcW w:type="dxa" w:w="2880"/>
            <w:shd w:val="clear" w:color="auto" w:fill="F5F8FC"/>
          </w:tcPr>
          <w:p>
            <w:pPr>
              <w:keepLines/>
              <w:spacing w:after="0"/>
            </w:pPr>
            <w:r/>
            <w:r>
              <w:rPr>
                <w:rFonts w:ascii="Arial" w:hAnsi="Arial"/>
                <w:b w:val="0"/>
                <w:color w:val="111827"/>
                <w:sz w:val="14"/>
              </w:rPr>
              <w:t>https://www.anthropic.com/news/the-anthropic-economic-index</w:t>
            </w:r>
          </w:p>
        </w:tc>
      </w:tr>
      <w:tr>
        <w:trPr>
          <w:cantSplit/>
        </w:trPr>
        <w:tc>
          <w:tcPr>
            <w:tcW w:type="dxa" w:w="2880"/>
          </w:tcPr>
          <w:p>
            <w:pPr>
              <w:keepLines/>
              <w:spacing w:after="0"/>
            </w:pPr>
            <w:r/>
            <w:r>
              <w:rPr>
                <w:rFonts w:ascii="Arial" w:hAnsi="Arial"/>
                <w:b/>
                <w:color w:val="111827"/>
                <w:sz w:val="14"/>
              </w:rPr>
              <w:t>S50</w:t>
            </w:r>
          </w:p>
        </w:tc>
        <w:tc>
          <w:tcPr>
            <w:tcW w:type="dxa" w:w="2880"/>
          </w:tcPr>
          <w:p>
            <w:pPr>
              <w:keepLines/>
              <w:spacing w:after="0"/>
            </w:pPr>
            <w:r/>
            <w:r>
              <w:rPr>
                <w:rFonts w:ascii="Arial" w:hAnsi="Arial"/>
                <w:b w:val="0"/>
                <w:color w:val="111827"/>
                <w:sz w:val="14"/>
              </w:rPr>
              <w:t>Anthropic — Claude Code sandboxing</w:t>
            </w:r>
          </w:p>
        </w:tc>
        <w:tc>
          <w:tcPr>
            <w:tcW w:type="dxa" w:w="2880"/>
          </w:tcPr>
          <w:p>
            <w:pPr>
              <w:keepLines/>
              <w:spacing w:after="0"/>
            </w:pPr>
            <w:r/>
            <w:r>
              <w:rPr>
                <w:rFonts w:ascii="Arial" w:hAnsi="Arial"/>
                <w:b w:val="0"/>
                <w:color w:val="111827"/>
                <w:sz w:val="14"/>
              </w:rPr>
              <w:t>https://www.anthropic.com/engineering/claude-code-sandboxing</w:t>
            </w:r>
          </w:p>
        </w:tc>
      </w:tr>
      <w:tr>
        <w:trPr>
          <w:cantSplit/>
        </w:trPr>
        <w:tc>
          <w:tcPr>
            <w:tcW w:type="dxa" w:w="2880"/>
            <w:shd w:val="clear" w:color="auto" w:fill="F5F8FC"/>
          </w:tcPr>
          <w:p>
            <w:pPr>
              <w:keepLines/>
              <w:spacing w:after="0"/>
            </w:pPr>
            <w:r/>
            <w:r>
              <w:rPr>
                <w:rFonts w:ascii="Arial" w:hAnsi="Arial"/>
                <w:b/>
                <w:color w:val="111827"/>
                <w:sz w:val="14"/>
              </w:rPr>
              <w:t>S52</w:t>
            </w:r>
          </w:p>
        </w:tc>
        <w:tc>
          <w:tcPr>
            <w:tcW w:type="dxa" w:w="2880"/>
            <w:shd w:val="clear" w:color="auto" w:fill="F5F8FC"/>
          </w:tcPr>
          <w:p>
            <w:pPr>
              <w:keepLines/>
              <w:spacing w:after="0"/>
            </w:pPr>
            <w:r/>
            <w:r>
              <w:rPr>
                <w:rFonts w:ascii="Arial" w:hAnsi="Arial"/>
                <w:b w:val="0"/>
                <w:color w:val="111827"/>
                <w:sz w:val="14"/>
              </w:rPr>
              <w:t>Peter Steinberger — official 2026 speaker photograph</w:t>
            </w:r>
          </w:p>
        </w:tc>
        <w:tc>
          <w:tcPr>
            <w:tcW w:type="dxa" w:w="2880"/>
            <w:shd w:val="clear" w:color="auto" w:fill="F5F8FC"/>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tcPr>
          <w:p>
            <w:pPr>
              <w:keepLines/>
              <w:spacing w:after="0"/>
            </w:pPr>
            <w:r/>
            <w:r>
              <w:rPr>
                <w:rFonts w:ascii="Arial" w:hAnsi="Arial"/>
                <w:b/>
                <w:color w:val="111827"/>
                <w:sz w:val="14"/>
              </w:rPr>
              <w:t>S53</w:t>
            </w:r>
          </w:p>
        </w:tc>
        <w:tc>
          <w:tcPr>
            <w:tcW w:type="dxa" w:w="2880"/>
          </w:tcPr>
          <w:p>
            <w:pPr>
              <w:keepLines/>
              <w:spacing w:after="0"/>
            </w:pPr>
            <w:r/>
            <w:r>
              <w:rPr>
                <w:rFonts w:ascii="Arial" w:hAnsi="Arial"/>
                <w:b w:val="0"/>
                <w:color w:val="111827"/>
                <w:sz w:val="14"/>
              </w:rPr>
              <w:t>Anthropic — Claude Code (repository)</w:t>
            </w:r>
          </w:p>
        </w:tc>
        <w:tc>
          <w:tcPr>
            <w:tcW w:type="dxa" w:w="2880"/>
          </w:tcPr>
          <w:p>
            <w:pPr>
              <w:keepLines/>
              <w:spacing w:after="0"/>
            </w:pPr>
            <w:r/>
            <w:r>
              <w:rPr>
                <w:rFonts w:ascii="Arial" w:hAnsi="Arial"/>
                <w:b w:val="0"/>
                <w:color w:val="111827"/>
                <w:sz w:val="14"/>
              </w:rPr>
              <w:t>https://github.com/anthropics/claude-code</w:t>
            </w:r>
          </w:p>
        </w:tc>
      </w:tr>
      <w:tr>
        <w:trPr>
          <w:cantSplit/>
        </w:trPr>
        <w:tc>
          <w:tcPr>
            <w:tcW w:type="dxa" w:w="2880"/>
            <w:shd w:val="clear" w:color="auto" w:fill="F5F8FC"/>
          </w:tcPr>
          <w:p>
            <w:pPr>
              <w:keepLines/>
              <w:spacing w:after="0"/>
            </w:pPr>
            <w:r/>
            <w:r>
              <w:rPr>
                <w:rFonts w:ascii="Arial" w:hAnsi="Arial"/>
                <w:b/>
                <w:color w:val="111827"/>
                <w:sz w:val="14"/>
              </w:rPr>
              <w:t>S54</w:t>
            </w:r>
          </w:p>
        </w:tc>
        <w:tc>
          <w:tcPr>
            <w:tcW w:type="dxa" w:w="2880"/>
            <w:shd w:val="clear" w:color="auto" w:fill="F5F8FC"/>
          </w:tcPr>
          <w:p>
            <w:pPr>
              <w:keepLines/>
              <w:spacing w:after="0"/>
            </w:pPr>
            <w:r/>
            <w:r>
              <w:rPr>
                <w:rFonts w:ascii="Arial" w:hAnsi="Arial"/>
                <w:b w:val="0"/>
                <w:color w:val="111827"/>
                <w:sz w:val="14"/>
              </w:rPr>
              <w:t>OpenAI — Codex (repository)</w:t>
            </w:r>
          </w:p>
        </w:tc>
        <w:tc>
          <w:tcPr>
            <w:tcW w:type="dxa" w:w="2880"/>
            <w:shd w:val="clear" w:color="auto" w:fill="F5F8FC"/>
          </w:tcPr>
          <w:p>
            <w:pPr>
              <w:keepLines/>
              <w:spacing w:after="0"/>
            </w:pPr>
            <w:r/>
            <w:r>
              <w:rPr>
                <w:rFonts w:ascii="Arial" w:hAnsi="Arial"/>
                <w:b w:val="0"/>
                <w:color w:val="111827"/>
                <w:sz w:val="14"/>
              </w:rPr>
              <w:t>https://github.com/openai/codex</w:t>
            </w:r>
          </w:p>
        </w:tc>
      </w:tr>
      <w:tr>
        <w:trPr>
          <w:cantSplit/>
        </w:trPr>
        <w:tc>
          <w:tcPr>
            <w:tcW w:type="dxa" w:w="2880"/>
          </w:tcPr>
          <w:p>
            <w:pPr>
              <w:keepLines/>
              <w:spacing w:after="0"/>
            </w:pPr>
            <w:r/>
            <w:r>
              <w:rPr>
                <w:rFonts w:ascii="Arial" w:hAnsi="Arial"/>
                <w:b/>
                <w:color w:val="111827"/>
                <w:sz w:val="14"/>
              </w:rPr>
              <w:t>S55</w:t>
            </w:r>
          </w:p>
        </w:tc>
        <w:tc>
          <w:tcPr>
            <w:tcW w:type="dxa" w:w="2880"/>
          </w:tcPr>
          <w:p>
            <w:pPr>
              <w:keepLines/>
              <w:spacing w:after="0"/>
            </w:pPr>
            <w:r/>
            <w:r>
              <w:rPr>
                <w:rFonts w:ascii="Arial" w:hAnsi="Arial"/>
                <w:b w:val="0"/>
                <w:color w:val="111827"/>
                <w:sz w:val="14"/>
              </w:rPr>
              <w:t>DeepSeek Harness (dsh) — developer preview repository</w:t>
            </w:r>
          </w:p>
        </w:tc>
        <w:tc>
          <w:tcPr>
            <w:tcW w:type="dxa" w:w="2880"/>
          </w:tcPr>
          <w:p>
            <w:pPr>
              <w:keepLines/>
              <w:spacing w:after="0"/>
            </w:pPr>
            <w:r/>
            <w:r>
              <w:rPr>
                <w:rFonts w:ascii="Arial" w:hAnsi="Arial"/>
                <w:b w:val="0"/>
                <w:color w:val="111827"/>
                <w:sz w:val="14"/>
              </w:rPr>
              <w:t>https://github.com/deepseek-ai/deepseek-harness</w:t>
            </w:r>
          </w:p>
        </w:tc>
      </w:tr>
      <w:tr>
        <w:trPr>
          <w:cantSplit/>
        </w:trPr>
        <w:tc>
          <w:tcPr>
            <w:tcW w:type="dxa" w:w="2880"/>
            <w:shd w:val="clear" w:color="auto" w:fill="F5F8FC"/>
          </w:tcPr>
          <w:p>
            <w:pPr>
              <w:keepLines/>
              <w:spacing w:after="0"/>
            </w:pPr>
            <w:r/>
            <w:r>
              <w:rPr>
                <w:rFonts w:ascii="Arial" w:hAnsi="Arial"/>
                <w:b/>
                <w:color w:val="111827"/>
                <w:sz w:val="14"/>
              </w:rPr>
              <w:t>S56</w:t>
            </w:r>
          </w:p>
        </w:tc>
        <w:tc>
          <w:tcPr>
            <w:tcW w:type="dxa" w:w="2880"/>
            <w:shd w:val="clear" w:color="auto" w:fill="F5F8FC"/>
          </w:tcPr>
          <w:p>
            <w:pPr>
              <w:keepLines/>
              <w:spacing w:after="0"/>
            </w:pPr>
            <w:r/>
            <w:r>
              <w:rPr>
                <w:rFonts w:ascii="Arial" w:hAnsi="Arial"/>
                <w:b w:val="0"/>
                <w:color w:val="111827"/>
                <w:sz w:val="14"/>
              </w:rPr>
              <w:t>OpenClaw — repository</w:t>
            </w:r>
          </w:p>
        </w:tc>
        <w:tc>
          <w:tcPr>
            <w:tcW w:type="dxa" w:w="2880"/>
            <w:shd w:val="clear" w:color="auto" w:fill="F5F8FC"/>
          </w:tcPr>
          <w:p>
            <w:pPr>
              <w:keepLines/>
              <w:spacing w:after="0"/>
            </w:pPr>
            <w:r/>
            <w:r>
              <w:rPr>
                <w:rFonts w:ascii="Arial" w:hAnsi="Arial"/>
                <w:b w:val="0"/>
                <w:color w:val="111827"/>
                <w:sz w:val="14"/>
              </w:rPr>
              <w:t>https://github.com/openclaw/openclaw</w:t>
            </w:r>
          </w:p>
        </w:tc>
      </w:tr>
      <w:tr>
        <w:trPr>
          <w:cantSplit/>
        </w:trPr>
        <w:tc>
          <w:tcPr>
            <w:tcW w:type="dxa" w:w="2880"/>
          </w:tcPr>
          <w:p>
            <w:pPr>
              <w:keepLines/>
              <w:spacing w:after="0"/>
            </w:pPr>
            <w:r/>
            <w:r>
              <w:rPr>
                <w:rFonts w:ascii="Arial" w:hAnsi="Arial"/>
                <w:b/>
                <w:color w:val="111827"/>
                <w:sz w:val="14"/>
              </w:rPr>
              <w:t>S57</w:t>
            </w:r>
          </w:p>
        </w:tc>
        <w:tc>
          <w:tcPr>
            <w:tcW w:type="dxa" w:w="2880"/>
          </w:tcPr>
          <w:p>
            <w:pPr>
              <w:keepLines/>
              <w:spacing w:after="0"/>
            </w:pPr>
            <w:r/>
            <w:r>
              <w:rPr>
                <w:rFonts w:ascii="Arial" w:hAnsi="Arial"/>
                <w:b w:val="0"/>
                <w:color w:val="111827"/>
                <w:sz w:val="14"/>
              </w:rPr>
              <w:t>Hermes Agent (Nous Research) — repository</w:t>
            </w:r>
          </w:p>
        </w:tc>
        <w:tc>
          <w:tcPr>
            <w:tcW w:type="dxa" w:w="2880"/>
          </w:tcPr>
          <w:p>
            <w:pPr>
              <w:keepLines/>
              <w:spacing w:after="0"/>
            </w:pPr>
            <w:r/>
            <w:r>
              <w:rPr>
                <w:rFonts w:ascii="Arial" w:hAnsi="Arial"/>
                <w:b w:val="0"/>
                <w:color w:val="111827"/>
                <w:sz w:val="14"/>
              </w:rPr>
              <w:t>https://github.com/NousResearch/hermes-agent</w:t>
            </w:r>
          </w:p>
        </w:tc>
      </w:tr>
      <w:tr>
        <w:trPr>
          <w:cantSplit/>
        </w:trPr>
        <w:tc>
          <w:tcPr>
            <w:tcW w:type="dxa" w:w="2880"/>
            <w:shd w:val="clear" w:color="auto" w:fill="F5F8FC"/>
          </w:tcPr>
          <w:p>
            <w:pPr>
              <w:keepLines/>
              <w:spacing w:after="0"/>
            </w:pPr>
            <w:r/>
            <w:r>
              <w:rPr>
                <w:rFonts w:ascii="Arial" w:hAnsi="Arial"/>
                <w:b/>
                <w:color w:val="111827"/>
                <w:sz w:val="14"/>
              </w:rPr>
              <w:t>S58</w:t>
            </w:r>
          </w:p>
        </w:tc>
        <w:tc>
          <w:tcPr>
            <w:tcW w:type="dxa" w:w="2880"/>
            <w:shd w:val="clear" w:color="auto" w:fill="F5F8FC"/>
          </w:tcPr>
          <w:p>
            <w:pPr>
              <w:keepLines/>
              <w:spacing w:after="0"/>
            </w:pPr>
            <w:r/>
            <w:r>
              <w:rPr>
                <w:rFonts w:ascii="Arial" w:hAnsi="Arial"/>
                <w:b w:val="0"/>
                <w:color w:val="111827"/>
                <w:sz w:val="14"/>
              </w:rPr>
              <w:t>Prime Agent (Prime Intellect) — repository</w:t>
            </w:r>
          </w:p>
        </w:tc>
        <w:tc>
          <w:tcPr>
            <w:tcW w:type="dxa" w:w="2880"/>
            <w:shd w:val="clear" w:color="auto" w:fill="F5F8FC"/>
          </w:tcPr>
          <w:p>
            <w:pPr>
              <w:keepLines/>
              <w:spacing w:after="0"/>
            </w:pPr>
            <w:r/>
            <w:r>
              <w:rPr>
                <w:rFonts w:ascii="Arial" w:hAnsi="Arial"/>
                <w:b w:val="0"/>
                <w:color w:val="111827"/>
                <w:sz w:val="14"/>
              </w:rPr>
              <w:t>https://github.com/PrimeIntellect-ai/prime-agent</w:t>
            </w:r>
          </w:p>
        </w:tc>
      </w:tr>
      <w:tr>
        <w:trPr>
          <w:cantSplit/>
        </w:trPr>
        <w:tc>
          <w:tcPr>
            <w:tcW w:type="dxa" w:w="2880"/>
          </w:tcPr>
          <w:p>
            <w:pPr>
              <w:keepLines/>
              <w:spacing w:after="0"/>
            </w:pPr>
            <w:r/>
            <w:r>
              <w:rPr>
                <w:rFonts w:ascii="Arial" w:hAnsi="Arial"/>
                <w:b/>
                <w:color w:val="111827"/>
                <w:sz w:val="14"/>
              </w:rPr>
              <w:t>S59</w:t>
            </w:r>
          </w:p>
        </w:tc>
        <w:tc>
          <w:tcPr>
            <w:tcW w:type="dxa" w:w="2880"/>
          </w:tcPr>
          <w:p>
            <w:pPr>
              <w:keepLines/>
              <w:spacing w:after="0"/>
            </w:pPr>
            <w:r/>
            <w:r>
              <w:rPr>
                <w:rFonts w:ascii="Arial" w:hAnsi="Arial"/>
                <w:b w:val="0"/>
                <w:color w:val="111827"/>
                <w:sz w:val="14"/>
              </w:rPr>
              <w:t>OpenWorker — open standard for employing AI in organisations</w:t>
            </w:r>
          </w:p>
        </w:tc>
        <w:tc>
          <w:tcPr>
            <w:tcW w:type="dxa" w:w="2880"/>
          </w:tcPr>
          <w:p>
            <w:pPr>
              <w:keepLines/>
              <w:spacing w:after="0"/>
            </w:pPr>
            <w:r/>
            <w:r>
              <w:rPr>
                <w:rFonts w:ascii="Arial" w:hAnsi="Arial"/>
                <w:b w:val="0"/>
                <w:color w:val="111827"/>
                <w:sz w:val="14"/>
              </w:rPr>
              <w:t>https://github.com/openworker-io/openworker</w:t>
            </w:r>
          </w:p>
        </w:tc>
      </w:tr>
      <w:tr>
        <w:trPr>
          <w:cantSplit/>
        </w:trPr>
        <w:tc>
          <w:tcPr>
            <w:tcW w:type="dxa" w:w="2880"/>
            <w:shd w:val="clear" w:color="auto" w:fill="F5F8FC"/>
          </w:tcPr>
          <w:p>
            <w:pPr>
              <w:keepLines/>
              <w:spacing w:after="0"/>
            </w:pPr>
            <w:r/>
            <w:r>
              <w:rPr>
                <w:rFonts w:ascii="Arial" w:hAnsi="Arial"/>
                <w:b/>
                <w:color w:val="111827"/>
                <w:sz w:val="14"/>
              </w:rPr>
              <w:t>S60</w:t>
            </w:r>
          </w:p>
        </w:tc>
        <w:tc>
          <w:tcPr>
            <w:tcW w:type="dxa" w:w="2880"/>
            <w:shd w:val="clear" w:color="auto" w:fill="F5F8FC"/>
          </w:tcPr>
          <w:p>
            <w:pPr>
              <w:keepLines/>
              <w:spacing w:after="0"/>
            </w:pPr>
            <w:r/>
            <w:r>
              <w:rPr>
                <w:rFonts w:ascii="Arial" w:hAnsi="Arial"/>
                <w:b w:val="0"/>
                <w:color w:val="111827"/>
                <w:sz w:val="14"/>
              </w:rPr>
              <w:t>QM (Quartermaster, Y Combinator) — multiplayer agent harness</w:t>
            </w:r>
          </w:p>
        </w:tc>
        <w:tc>
          <w:tcPr>
            <w:tcW w:type="dxa" w:w="2880"/>
            <w:shd w:val="clear" w:color="auto" w:fill="F5F8FC"/>
          </w:tcPr>
          <w:p>
            <w:pPr>
              <w:keepLines/>
              <w:spacing w:after="0"/>
            </w:pPr>
            <w:r/>
            <w:r>
              <w:rPr>
                <w:rFonts w:ascii="Arial" w:hAnsi="Arial"/>
                <w:b w:val="0"/>
                <w:color w:val="111827"/>
                <w:sz w:val="14"/>
              </w:rPr>
              <w:t>https://github.com/yc-software/qm</w:t>
            </w:r>
          </w:p>
        </w:tc>
      </w:tr>
      <w:tr>
        <w:trPr>
          <w:cantSplit/>
        </w:trPr>
        <w:tc>
          <w:tcPr>
            <w:tcW w:type="dxa" w:w="2880"/>
          </w:tcPr>
          <w:p>
            <w:pPr>
              <w:keepLines/>
              <w:spacing w:after="0"/>
            </w:pPr>
            <w:r/>
            <w:r>
              <w:rPr>
                <w:rFonts w:ascii="Arial" w:hAnsi="Arial"/>
                <w:b/>
                <w:color w:val="111827"/>
                <w:sz w:val="14"/>
              </w:rPr>
              <w:t>S61</w:t>
            </w:r>
          </w:p>
        </w:tc>
        <w:tc>
          <w:tcPr>
            <w:tcW w:type="dxa" w:w="2880"/>
          </w:tcPr>
          <w:p>
            <w:pPr>
              <w:keepLines/>
              <w:spacing w:after="0"/>
            </w:pPr>
            <w:r/>
            <w:r>
              <w:rPr>
                <w:rFonts w:ascii="Arial" w:hAnsi="Arial"/>
                <w:b w:val="0"/>
                <w:color w:val="111827"/>
                <w:sz w:val="14"/>
              </w:rPr>
              <w:t>The Straits Times / CPA Australia — Singapore businesses lead in AI and data adoption but face cybersecurity challenges (1 Dec 2025)</w:t>
            </w:r>
          </w:p>
        </w:tc>
        <w:tc>
          <w:tcPr>
            <w:tcW w:type="dxa" w:w="2880"/>
          </w:tcPr>
          <w:p>
            <w:pPr>
              <w:keepLines/>
              <w:spacing w:after="0"/>
            </w:pPr>
            <w:r/>
            <w:r>
              <w:rPr>
                <w:rFonts w:ascii="Arial" w:hAnsi="Arial"/>
                <w:b w:val="0"/>
                <w:color w:val="111827"/>
                <w:sz w:val="14"/>
              </w:rPr>
              <w:t>https://www.straitstimes.com/paid-press-releases/singapore-businesses-lead-in-ai-and-data-adoption-but-face-cybersecurity-challenges-20251201</w:t>
            </w:r>
          </w:p>
        </w:tc>
      </w:tr>
      <w:tr>
        <w:trPr>
          <w:cantSplit/>
        </w:trPr>
        <w:tc>
          <w:tcPr>
            <w:tcW w:type="dxa" w:w="2880"/>
            <w:shd w:val="clear" w:color="auto" w:fill="F5F8FC"/>
          </w:tcPr>
          <w:p>
            <w:pPr>
              <w:keepLines/>
              <w:spacing w:after="0"/>
            </w:pPr>
            <w:r/>
            <w:r>
              <w:rPr>
                <w:rFonts w:ascii="Arial" w:hAnsi="Arial"/>
                <w:b/>
                <w:color w:val="111827"/>
                <w:sz w:val="14"/>
              </w:rPr>
              <w:t>S62</w:t>
            </w:r>
          </w:p>
        </w:tc>
        <w:tc>
          <w:tcPr>
            <w:tcW w:type="dxa" w:w="2880"/>
            <w:shd w:val="clear" w:color="auto" w:fill="F5F8FC"/>
          </w:tcPr>
          <w:p>
            <w:pPr>
              <w:keepLines/>
              <w:spacing w:after="0"/>
            </w:pPr>
            <w:r/>
            <w:r>
              <w:rPr>
                <w:rFonts w:ascii="Arial" w:hAnsi="Arial"/>
                <w:b w:val="0"/>
                <w:color w:val="111827"/>
                <w:sz w:val="14"/>
              </w:rPr>
              <w:t>Tricentis — QA trends 2026: AI, agents and the future of testing (5 Jan 2026)</w:t>
            </w:r>
          </w:p>
        </w:tc>
        <w:tc>
          <w:tcPr>
            <w:tcW w:type="dxa" w:w="2880"/>
            <w:shd w:val="clear" w:color="auto" w:fill="F5F8FC"/>
          </w:tcPr>
          <w:p>
            <w:pPr>
              <w:keepLines/>
              <w:spacing w:after="0"/>
            </w:pPr>
            <w:r/>
            <w:r>
              <w:rPr>
                <w:rFonts w:ascii="Arial" w:hAnsi="Arial"/>
                <w:b w:val="0"/>
                <w:color w:val="111827"/>
                <w:sz w:val="14"/>
              </w:rPr>
              <w:t>https://www.tricentis.com/blog/qa-trends-ai-agentic-testing</w:t>
            </w:r>
          </w:p>
        </w:tc>
      </w:tr>
      <w:tr>
        <w:trPr>
          <w:cantSplit/>
        </w:trPr>
        <w:tc>
          <w:tcPr>
            <w:tcW w:type="dxa" w:w="2880"/>
          </w:tcPr>
          <w:p>
            <w:pPr>
              <w:keepLines/>
              <w:spacing w:after="0"/>
            </w:pPr>
            <w:r/>
            <w:r>
              <w:rPr>
                <w:rFonts w:ascii="Arial" w:hAnsi="Arial"/>
                <w:b/>
                <w:color w:val="111827"/>
                <w:sz w:val="14"/>
              </w:rPr>
              <w:t>S63</w:t>
            </w:r>
          </w:p>
        </w:tc>
        <w:tc>
          <w:tcPr>
            <w:tcW w:type="dxa" w:w="2880"/>
          </w:tcPr>
          <w:p>
            <w:pPr>
              <w:keepLines/>
              <w:spacing w:after="0"/>
            </w:pPr>
            <w:r/>
            <w:r>
              <w:rPr>
                <w:rFonts w:ascii="Arial" w:hAnsi="Arial"/>
                <w:b w:val="0"/>
                <w:color w:val="111827"/>
                <w:sz w:val="14"/>
              </w:rPr>
              <w:t>The Straits Times — New AgentSea platform lets public healthcare professionals create AI agents (24 Aug 2026)</w:t>
            </w:r>
          </w:p>
        </w:tc>
        <w:tc>
          <w:tcPr>
            <w:tcW w:type="dxa" w:w="2880"/>
          </w:tcPr>
          <w:p>
            <w:pPr>
              <w:keepLines/>
              <w:spacing w:after="0"/>
            </w:pPr>
            <w:r/>
            <w:r>
              <w:rPr>
                <w:rFonts w:ascii="Arial" w:hAnsi="Arial"/>
                <w:b w:val="0"/>
                <w:color w:val="111827"/>
                <w:sz w:val="14"/>
              </w:rPr>
              <w:t>https://www.straitstimes.com/tech/new-platform-to-create-ai-agents-available-to-all-public-healthcare-professionals</w:t>
            </w:r>
          </w:p>
        </w:tc>
      </w:tr>
      <w:tr>
        <w:trPr>
          <w:cantSplit/>
        </w:trPr>
        <w:tc>
          <w:tcPr>
            <w:tcW w:type="dxa" w:w="2880"/>
            <w:shd w:val="clear" w:color="auto" w:fill="F5F8FC"/>
          </w:tcPr>
          <w:p>
            <w:pPr>
              <w:keepLines/>
              <w:spacing w:after="0"/>
            </w:pPr>
            <w:r/>
            <w:r>
              <w:rPr>
                <w:rFonts w:ascii="Arial" w:hAnsi="Arial"/>
                <w:b/>
                <w:color w:val="111827"/>
                <w:sz w:val="14"/>
              </w:rPr>
              <w:t>S64</w:t>
            </w:r>
          </w:p>
        </w:tc>
        <w:tc>
          <w:tcPr>
            <w:tcW w:type="dxa" w:w="2880"/>
            <w:shd w:val="clear" w:color="auto" w:fill="F5F8FC"/>
          </w:tcPr>
          <w:p>
            <w:pPr>
              <w:keepLines/>
              <w:spacing w:after="0"/>
            </w:pPr>
            <w:r/>
            <w:r>
              <w:rPr>
                <w:rFonts w:ascii="Arial" w:hAnsi="Arial"/>
                <w:b w:val="0"/>
                <w:color w:val="111827"/>
                <w:sz w:val="14"/>
              </w:rPr>
              <w:t>CNA — Gen-AI ads flooding the Singapore market could backfire on brands (24 Aug 2026)</w:t>
            </w:r>
          </w:p>
        </w:tc>
        <w:tc>
          <w:tcPr>
            <w:tcW w:type="dxa" w:w="2880"/>
            <w:shd w:val="clear" w:color="auto" w:fill="F5F8FC"/>
          </w:tcPr>
          <w:p>
            <w:pPr>
              <w:keepLines/>
              <w:spacing w:after="0"/>
            </w:pPr>
            <w:r/>
            <w:r>
              <w:rPr>
                <w:rFonts w:ascii="Arial" w:hAnsi="Arial"/>
                <w:b w:val="0"/>
                <w:color w:val="111827"/>
                <w:sz w:val="14"/>
              </w:rPr>
              <w:t>https://www.channelnewsasia.com/singapore/gen-ai-ads-singapore-marketing-backfire-6323236</w:t>
            </w:r>
          </w:p>
        </w:tc>
      </w:tr>
      <w:tr>
        <w:trPr>
          <w:cantSplit/>
        </w:trPr>
        <w:tc>
          <w:tcPr>
            <w:tcW w:type="dxa" w:w="2880"/>
          </w:tcPr>
          <w:p>
            <w:pPr>
              <w:keepLines/>
              <w:spacing w:after="0"/>
            </w:pPr>
            <w:r/>
            <w:r>
              <w:rPr>
                <w:rFonts w:ascii="Arial" w:hAnsi="Arial"/>
                <w:b/>
                <w:color w:val="111827"/>
                <w:sz w:val="14"/>
              </w:rPr>
              <w:t>S65</w:t>
            </w:r>
          </w:p>
        </w:tc>
        <w:tc>
          <w:tcPr>
            <w:tcW w:type="dxa" w:w="2880"/>
          </w:tcPr>
          <w:p>
            <w:pPr>
              <w:keepLines/>
              <w:spacing w:after="0"/>
            </w:pPr>
            <w:r/>
            <w:r>
              <w:rPr>
                <w:rFonts w:ascii="Arial" w:hAnsi="Arial"/>
                <w:b w:val="0"/>
                <w:color w:val="111827"/>
                <w:sz w:val="14"/>
              </w:rPr>
              <w:t>MindStudio — DeepSeek Harness: agentic coding where everything is a plugin</w:t>
            </w:r>
          </w:p>
        </w:tc>
        <w:tc>
          <w:tcPr>
            <w:tcW w:type="dxa" w:w="2880"/>
          </w:tcPr>
          <w:p>
            <w:pPr>
              <w:keepLines/>
              <w:spacing w:after="0"/>
            </w:pPr>
            <w:r/>
            <w:r>
              <w:rPr>
                <w:rFonts w:ascii="Arial" w:hAnsi="Arial"/>
                <w:b w:val="0"/>
                <w:color w:val="111827"/>
                <w:sz w:val="14"/>
              </w:rPr>
              <w:t>https://www.mindstudio.ai/blog/deepseek-harness-agentic-coding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