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r>
        <w:tc>
          <w:tcPr>
            <w:tcW w:type="dxa" w:w="2160"/>
          </w:tcPr>
          <w:p>
            <w:r/>
            <w:r>
              <w:rPr>
                <w:sz w:val="19"/>
              </w:rPr>
              <w:t>4.2</w:t>
            </w:r>
          </w:p>
        </w:tc>
        <w:tc>
          <w:tcPr>
            <w:tcW w:type="dxa" w:w="2160"/>
          </w:tcPr>
          <w:p>
            <w:r/>
            <w:r>
              <w:rPr>
                <w:sz w:val="19"/>
              </w:rPr>
              <w:t>25 August 2026</w:t>
            </w:r>
          </w:p>
        </w:tc>
        <w:tc>
          <w:tcPr>
            <w:tcW w:type="dxa" w:w="2160"/>
          </w:tcPr>
          <w:p>
            <w:r/>
            <w:r>
              <w:rPr>
                <w:sz w:val="19"/>
              </w:rPr>
              <w:t>Added coding-harness and latest-AI-agents reference slides to the deck (Claude Code, Codex, DeepSeek Harness; OpenClaw, Hermes, Prime Agent, OpenWorker, QM). Schedule and TSC K/A text unchanged.</w:t>
            </w:r>
          </w:p>
        </w:tc>
        <w:tc>
          <w:tcPr>
            <w:tcW w:type="dxa" w:w="2160"/>
          </w:tcPr>
          <w:p>
            <w:r/>
            <w:r>
              <w:rPr>
                <w:sz w:val="19"/>
              </w:rPr>
              <w:t>Dr Alfred Ang</w:t>
            </w:r>
          </w:p>
        </w:tc>
      </w:tr>
      <w:tr>
        <w:tc>
          <w:tcPr>
            <w:tcW w:type="dxa" w:w="2160"/>
          </w:tcPr>
          <w:p>
            <w:r/>
            <w:r>
              <w:rPr>
                <w:sz w:val="19"/>
              </w:rPr>
              <w:t>4.3</w:t>
            </w:r>
          </w:p>
        </w:tc>
        <w:tc>
          <w:tcPr>
            <w:tcW w:type="dxa" w:w="2160"/>
          </w:tcPr>
          <w:p>
            <w:r/>
            <w:r>
              <w:rPr>
                <w:sz w:val="19"/>
              </w:rPr>
              <w:t>25 August 2026</w:t>
            </w:r>
          </w:p>
        </w:tc>
        <w:tc>
          <w:tcPr>
            <w:tcW w:type="dxa" w:w="2160"/>
          </w:tcPr>
          <w:p>
            <w:r/>
            <w:r>
              <w:rPr>
                <w:sz w:val="19"/>
              </w:rPr>
              <w:t>Beefed up Topic 3 with Singapore AI case studies (adoption vs cybersecurity, gen-AI brand damage, agentic testing, healthcare AgentSea), a brand-damage discussion/debrief, a 'Key Challenges of AI to Business' capstone and a visual multi-agent map. Schedule and TSC K/A text unchanged.</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Practical Performance)</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1–124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9:00 – 9:20</w:t>
            </w:r>
          </w:p>
        </w:tc>
        <w:tc>
          <w:tcPr>
            <w:tcW w:type="dxa" w:w="7416"/>
            <w:shd w:val="clear" w:color="auto" w:fill="F2F4F7"/>
          </w:tcPr>
          <w:p>
            <w:pPr>
              <w:keepLines/>
            </w:pPr>
            <w:r/>
            <w:r>
              <w:rPr>
                <w:rFonts w:ascii="Arial" w:hAnsi="Arial"/>
                <w:b w:val="0"/>
                <w:sz w:val="19"/>
              </w:rPr>
              <w:t>Welcome, digital attendance, introductions, learning outcomes and ground rules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9:20 – 10:05</w:t>
            </w:r>
          </w:p>
        </w:tc>
        <w:tc>
          <w:tcPr>
            <w:tcW w:type="dxa" w:w="7416"/>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10:05 – 10:45</w:t>
            </w:r>
          </w:p>
        </w:tc>
        <w:tc>
          <w:tcPr>
            <w:tcW w:type="dxa" w:w="7416"/>
            <w:shd w:val="clear" w:color="auto" w:fill="E8F0FE"/>
          </w:tcPr>
          <w:p>
            <w:pPr>
              <w:keepLines/>
            </w:pPr>
            <w:r/>
            <w:r>
              <w:rPr>
                <w:rFonts w:ascii="Arial" w:hAnsi="Arial"/>
                <w:b w:val="0"/>
                <w:sz w:val="19"/>
              </w:rPr>
              <w:t>Topic 1: Real generative-AI use cases (AI fashion models, AI video, Klarna); context engineering (K3, A3, A4)</w:t>
            </w:r>
          </w:p>
        </w:tc>
        <w:tc>
          <w:tcPr>
            <w:tcW w:type="dxa" w:w="1224"/>
            <w:shd w:val="clear" w:color="auto" w:fill="E8F0FE"/>
          </w:tcPr>
          <w:p>
            <w:pPr>
              <w:keepLines/>
            </w:pPr>
            <w:r/>
            <w:r>
              <w:rPr>
                <w:rFonts w:ascii="Arial" w:hAnsi="Arial"/>
                <w:b w:val="0"/>
                <w:sz w:val="19"/>
              </w:rPr>
              <w:t>40 min</w:t>
            </w:r>
          </w:p>
        </w:tc>
      </w:tr>
      <w:tr>
        <w:trPr>
          <w:cantSplit/>
        </w:trPr>
        <w:tc>
          <w:tcPr>
            <w:tcW w:type="dxa" w:w="1656"/>
            <w:shd w:val="clear" w:color="auto" w:fill="FDF3E3"/>
          </w:tcPr>
          <w:p>
            <w:pPr>
              <w:keepLines/>
            </w:pPr>
            <w:r/>
            <w:r>
              <w:rPr>
                <w:rFonts w:ascii="Arial" w:hAnsi="Arial"/>
                <w:b w:val="0"/>
                <w:sz w:val="19"/>
              </w:rPr>
              <w:t>10:45 – 11:00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11:00 – 11:45</w:t>
            </w:r>
          </w:p>
        </w:tc>
        <w:tc>
          <w:tcPr>
            <w:tcW w:type="dxa" w:w="7416"/>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11:45 – 12:30</w:t>
            </w:r>
          </w:p>
        </w:tc>
        <w:tc>
          <w:tcPr>
            <w:tcW w:type="dxa" w:w="7416"/>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1:45</w:t>
            </w:r>
          </w:p>
        </w:tc>
        <w:tc>
          <w:tcPr>
            <w:tcW w:type="dxa" w:w="7416"/>
            <w:shd w:val="clear" w:color="auto" w:fill="E8F0FE"/>
          </w:tcPr>
          <w:p>
            <w:pPr>
              <w:keepLines/>
            </w:pPr>
            <w:r/>
            <w:r>
              <w:rPr>
                <w:rFonts w:ascii="Arial" w:hAnsi="Arial"/>
                <w:b w:val="0"/>
                <w:sz w:val="19"/>
              </w:rPr>
              <w:t>Topic 1 summary: generative AI vs agentic AI vs AI agents</w:t>
            </w:r>
          </w:p>
        </w:tc>
        <w:tc>
          <w:tcPr>
            <w:tcW w:type="dxa" w:w="1224"/>
            <w:shd w:val="clear" w:color="auto" w:fill="E8F0FE"/>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1:45 – 2:20</w:t>
            </w:r>
          </w:p>
        </w:tc>
        <w:tc>
          <w:tcPr>
            <w:tcW w:type="dxa" w:w="7416"/>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24"/>
            <w:shd w:val="clear" w:color="auto" w:fill="E8F0FE"/>
          </w:tcPr>
          <w:p>
            <w:pPr>
              <w:keepLines/>
            </w:pPr>
            <w:r/>
            <w:r>
              <w:rPr>
                <w:rFonts w:ascii="Arial" w:hAnsi="Arial"/>
                <w:b w:val="0"/>
                <w:sz w:val="19"/>
              </w:rPr>
              <w:t>35 min</w:t>
            </w:r>
          </w:p>
        </w:tc>
      </w:tr>
      <w:tr>
        <w:trPr>
          <w:cantSplit/>
        </w:trPr>
        <w:tc>
          <w:tcPr>
            <w:tcW w:type="dxa" w:w="1656"/>
            <w:shd w:val="clear" w:color="auto" w:fill="E6F7F1"/>
          </w:tcPr>
          <w:p>
            <w:pPr>
              <w:keepLines/>
            </w:pPr>
            <w:r/>
            <w:r>
              <w:rPr>
                <w:rFonts w:ascii="Arial" w:hAnsi="Arial"/>
                <w:b w:val="0"/>
                <w:sz w:val="19"/>
              </w:rPr>
              <w:t>2:20 – 3:10</w:t>
            </w:r>
          </w:p>
        </w:tc>
        <w:tc>
          <w:tcPr>
            <w:tcW w:type="dxa" w:w="7416"/>
            <w:shd w:val="clear" w:color="auto" w:fill="E6F7F1"/>
          </w:tcPr>
          <w:p>
            <w:pPr>
              <w:keepLines/>
            </w:pPr>
            <w:r/>
            <w:r>
              <w:rPr>
                <w:rFonts w:ascii="Arial" w:hAnsi="Arial"/>
                <w:b w:val="0"/>
                <w:sz w:val="19"/>
              </w:rPr>
              <w:t>Activity 2 &amp; 3: Send prompts to analyse mock Excel data and build an animated PPT; compare good vs bad prompts (K4, A5)</w:t>
            </w:r>
          </w:p>
        </w:tc>
        <w:tc>
          <w:tcPr>
            <w:tcW w:type="dxa" w:w="1224"/>
            <w:shd w:val="clear" w:color="auto" w:fill="E6F7F1"/>
          </w:tcPr>
          <w:p>
            <w:pPr>
              <w:keepLines/>
            </w:pPr>
            <w:r/>
            <w:r>
              <w:rPr>
                <w:rFonts w:ascii="Arial" w:hAnsi="Arial"/>
                <w:b w:val="0"/>
                <w:sz w:val="19"/>
              </w:rPr>
              <w:t>50 min</w:t>
            </w:r>
          </w:p>
        </w:tc>
      </w:tr>
      <w:tr>
        <w:trPr>
          <w:cantSplit/>
        </w:trPr>
        <w:tc>
          <w:tcPr>
            <w:tcW w:type="dxa" w:w="1656"/>
            <w:shd w:val="clear" w:color="auto" w:fill="FDF3E3"/>
          </w:tcPr>
          <w:p>
            <w:pPr>
              <w:keepLines/>
            </w:pPr>
            <w:r/>
            <w:r>
              <w:rPr>
                <w:rFonts w:ascii="Arial" w:hAnsi="Arial"/>
                <w:b w:val="0"/>
                <w:sz w:val="19"/>
              </w:rPr>
              <w:t>3:10 – 3:25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6F7F1"/>
          </w:tcPr>
          <w:p>
            <w:pPr>
              <w:keepLines/>
            </w:pPr>
            <w:r/>
            <w:r>
              <w:rPr>
                <w:rFonts w:ascii="Arial" w:hAnsi="Arial"/>
                <w:b w:val="0"/>
                <w:sz w:val="19"/>
              </w:rPr>
              <w:t>3:25 – 3:50</w:t>
            </w:r>
          </w:p>
        </w:tc>
        <w:tc>
          <w:tcPr>
            <w:tcW w:type="dxa" w:w="7416"/>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3:50 – 4:35</w:t>
            </w:r>
          </w:p>
        </w:tc>
        <w:tc>
          <w:tcPr>
            <w:tcW w:type="dxa" w:w="7416"/>
            <w:shd w:val="clear" w:color="auto" w:fill="E6F7F1"/>
          </w:tcPr>
          <w:p>
            <w:pPr>
              <w:keepLines/>
            </w:pPr>
            <w:r/>
            <w:r>
              <w:rPr>
                <w:rFonts w:ascii="Arial" w:hAnsi="Arial"/>
                <w:b w:val="0"/>
                <w:sz w:val="19"/>
              </w:rPr>
              <w:t>Topic 3: AI data governance and accountability (Moffatt v Air Canada); Activity 5 — draft an AI data governance policy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4:35 – 5:15</w:t>
            </w:r>
          </w:p>
        </w:tc>
        <w:tc>
          <w:tcPr>
            <w:tcW w:type="dxa" w:w="7416"/>
            <w:shd w:val="clear" w:color="auto" w:fill="E6F7F1"/>
          </w:tcPr>
          <w:p>
            <w:pPr>
              <w:keepLines/>
            </w:pPr>
            <w:r/>
            <w:r>
              <w:rPr>
                <w:rFonts w:ascii="Arial" w:hAnsi="Arial"/>
                <w:b w:val="0"/>
                <w:sz w:val="19"/>
              </w:rPr>
              <w:t>Topic 3: Job impact and redesign; Activity 6 — coaching role-play simulator (A2)</w:t>
            </w:r>
          </w:p>
        </w:tc>
        <w:tc>
          <w:tcPr>
            <w:tcW w:type="dxa" w:w="1224"/>
            <w:shd w:val="clear" w:color="auto" w:fill="E6F7F1"/>
          </w:tcPr>
          <w:p>
            <w:pPr>
              <w:keepLines/>
            </w:pPr>
            <w:r/>
            <w:r>
              <w:rPr>
                <w:rFonts w:ascii="Arial" w:hAnsi="Arial"/>
                <w:b w:val="0"/>
                <w:sz w:val="19"/>
              </w:rPr>
              <w:t>40 min</w:t>
            </w:r>
          </w:p>
        </w:tc>
      </w:tr>
      <w:tr>
        <w:trPr>
          <w:cantSplit/>
        </w:trPr>
        <w:tc>
          <w:tcPr>
            <w:tcW w:type="dxa" w:w="1656"/>
            <w:shd w:val="clear" w:color="auto" w:fill="E6F7F1"/>
          </w:tcPr>
          <w:p>
            <w:pPr>
              <w:keepLines/>
            </w:pPr>
            <w:r/>
            <w:r>
              <w:rPr>
                <w:rFonts w:ascii="Arial" w:hAnsi="Arial"/>
                <w:b w:val="0"/>
                <w:sz w:val="19"/>
              </w:rPr>
              <w:t>5:15 – 6:00</w:t>
            </w:r>
          </w:p>
        </w:tc>
        <w:tc>
          <w:tcPr>
            <w:tcW w:type="dxa" w:w="7416"/>
            <w:shd w:val="clear" w:color="auto" w:fill="E6F7F1"/>
          </w:tcPr>
          <w:p>
            <w:pPr>
              <w:keepLines/>
            </w:pPr>
            <w:r/>
            <w:r>
              <w:rPr>
                <w:rFonts w:ascii="Arial" w:hAnsi="Arial"/>
                <w:b w:val="0"/>
                <w:sz w:val="19"/>
              </w:rPr>
              <w:t>Topic 3: AI-agent cybersecurity risks and safe rollout; Activities 7 &amp; 8 — leaky vs guarded chatbots and security reflection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ECEC"/>
          </w:tcPr>
          <w:p>
            <w:pPr>
              <w:keepLines/>
            </w:pPr>
            <w:r/>
            <w:r>
              <w:rPr>
                <w:rFonts w:ascii="Arial" w:hAnsi="Arial"/>
                <w:b w:val="0"/>
                <w:sz w:val="19"/>
              </w:rPr>
              <w:t>6:00 – 6:35</w:t>
            </w:r>
          </w:p>
        </w:tc>
        <w:tc>
          <w:tcPr>
            <w:tcW w:type="dxa" w:w="7416"/>
            <w:shd w:val="clear" w:color="auto" w:fill="FDECEC"/>
          </w:tcPr>
          <w:p>
            <w:pPr>
              <w:keepLines/>
            </w:pPr>
            <w:r/>
            <w:r>
              <w:rPr>
                <w:rFonts w:ascii="Arial" w:hAnsi="Arial"/>
                <w:b w:val="0"/>
                <w:sz w:val="19"/>
              </w:rPr>
              <w:t>Briefing for assessment; Written Assessment (SAQ) — 5 questions, one per K statement (K1-K5)</w:t>
            </w:r>
          </w:p>
        </w:tc>
        <w:tc>
          <w:tcPr>
            <w:tcW w:type="dxa" w:w="1224"/>
            <w:shd w:val="clear" w:color="auto" w:fill="FDECEC"/>
          </w:tcPr>
          <w:p>
            <w:pPr>
              <w:keepLines/>
            </w:pPr>
            <w:r/>
            <w:r>
              <w:rPr>
                <w:rFonts w:ascii="Arial" w:hAnsi="Arial"/>
                <w:b w:val="0"/>
                <w:sz w:val="19"/>
              </w:rPr>
              <w:t>35 min</w:t>
            </w:r>
          </w:p>
        </w:tc>
      </w:tr>
      <w:tr>
        <w:trPr>
          <w:cantSplit/>
        </w:trPr>
        <w:tc>
          <w:tcPr>
            <w:tcW w:type="dxa" w:w="1656"/>
            <w:shd w:val="clear" w:color="auto" w:fill="FDECEC"/>
          </w:tcPr>
          <w:p>
            <w:pPr>
              <w:keepLines/>
            </w:pPr>
            <w:r/>
            <w:r>
              <w:rPr>
                <w:rFonts w:ascii="Arial" w:hAnsi="Arial"/>
                <w:b w:val="0"/>
                <w:sz w:val="19"/>
              </w:rPr>
              <w:t>6:35 – 7:00</w:t>
            </w:r>
          </w:p>
        </w:tc>
        <w:tc>
          <w:tcPr>
            <w:tcW w:type="dxa" w:w="7416"/>
            <w:shd w:val="clear" w:color="auto" w:fill="FDECEC"/>
          </w:tcPr>
          <w:p>
            <w:pPr>
              <w:keepLines/>
            </w:pPr>
            <w:r/>
            <w:r>
              <w:rPr>
                <w:rFonts w:ascii="Arial" w:hAnsi="Arial"/>
                <w:b w:val="0"/>
                <w:sz w:val="19"/>
              </w:rPr>
              <w:t>Practical Performance — 3 reflection tasks on the activities completed; TRAQOM close</w:t>
            </w:r>
          </w:p>
        </w:tc>
        <w:tc>
          <w:tcPr>
            <w:tcW w:type="dxa" w:w="1224"/>
            <w:shd w:val="clear" w:color="auto" w:fill="FDECEC"/>
          </w:tcPr>
          <w:p>
            <w:pPr>
              <w:keepLines/>
            </w:pPr>
            <w:r/>
            <w:r>
              <w:rPr>
                <w:rFonts w:ascii="Arial" w:hAnsi="Arial"/>
                <w:b w:val="0"/>
                <w:sz w:val="19"/>
              </w:rPr>
              <w:t>25 min</w:t>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Build an animated PPT from an Envato template with the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Draft an AI Data Governance Policy from a sample using prompts</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Practical Performance</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Practical Performance — 3 reflective tasks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Practical Performance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