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Process Excellence Network — H&amp;M debuts AI 'digital twins' of models (Mar 2025), S22 — ABC News — AI-generated models in Guess ad in Vogue (Aug 2025)</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Entrepreneur — Klarna CEO reverses course, hiring more humans not AI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34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39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46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54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59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61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63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65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66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70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77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85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91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94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and −92M displaced by 2030 — a net gain of ~78M, with 39% of core skills changing.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and −92M displaced by 2030 — a net gain of ~78M, with 39% of core skills changing.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The GROW Coaching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GROW Coaching Model”. Coach by asking, not telling — it builds ownership. You will use GROW in the role-play, and your feedback is scored against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 — Goal</w:t>
            </w:r>
          </w:p>
        </w:tc>
        <w:tc>
          <w:tcPr>
            <w:tcW w:type="dxa" w:w="4320"/>
            <w:shd w:val="clear" w:color="auto" w:fill="F5F8FC"/>
          </w:tcPr>
          <w:p>
            <w:pPr>
              <w:keepNext/>
              <w:keepLines/>
              <w:spacing w:after="0"/>
            </w:pPr>
            <w:r/>
            <w:r>
              <w:rPr>
                <w:rFonts w:ascii="Arial" w:hAnsi="Arial"/>
                <w:b w:val="0"/>
                <w:color w:val="111827"/>
                <w:sz w:val="18"/>
              </w:rPr>
              <w:t>Agree what they want. 'What would a good outcome look like for you?'</w:t>
            </w:r>
          </w:p>
        </w:tc>
      </w:tr>
      <w:tr>
        <w:trPr>
          <w:cantSplit/>
        </w:trPr>
        <w:tc>
          <w:tcPr>
            <w:tcW w:type="dxa" w:w="4320"/>
          </w:tcPr>
          <w:p>
            <w:pPr>
              <w:keepNext/>
              <w:keepLines/>
              <w:spacing w:after="0"/>
            </w:pPr>
            <w:r/>
            <w:r>
              <w:rPr>
                <w:rFonts w:ascii="Arial" w:hAnsi="Arial"/>
                <w:b/>
                <w:color w:val="111827"/>
                <w:sz w:val="18"/>
              </w:rPr>
              <w:t>R — Reality</w:t>
            </w:r>
          </w:p>
        </w:tc>
        <w:tc>
          <w:tcPr>
            <w:tcW w:type="dxa" w:w="4320"/>
          </w:tcPr>
          <w:p>
            <w:pPr>
              <w:keepNext/>
              <w:keepLines/>
              <w:spacing w:after="0"/>
            </w:pPr>
            <w:r/>
            <w:r>
              <w:rPr>
                <w:rFonts w:ascii="Arial" w:hAnsi="Arial"/>
                <w:b w:val="0"/>
                <w:color w:val="111827"/>
                <w:sz w:val="18"/>
              </w:rPr>
              <w:t>Explore where they are now, with empathy. 'What's happening, and what worries you?'</w:t>
            </w:r>
          </w:p>
        </w:tc>
      </w:tr>
      <w:tr>
        <w:trPr>
          <w:cantSplit/>
        </w:trPr>
        <w:tc>
          <w:tcPr>
            <w:tcW w:type="dxa" w:w="4320"/>
            <w:shd w:val="clear" w:color="auto" w:fill="F5F8FC"/>
          </w:tcPr>
          <w:p>
            <w:pPr>
              <w:keepNext/>
              <w:keepLines/>
              <w:spacing w:after="0"/>
            </w:pPr>
            <w:r/>
            <w:r>
              <w:rPr>
                <w:rFonts w:ascii="Arial" w:hAnsi="Arial"/>
                <w:b/>
                <w:color w:val="111827"/>
                <w:sz w:val="18"/>
              </w:rPr>
              <w:t>O — Options</w:t>
            </w:r>
          </w:p>
        </w:tc>
        <w:tc>
          <w:tcPr>
            <w:tcW w:type="dxa" w:w="4320"/>
            <w:shd w:val="clear" w:color="auto" w:fill="F5F8FC"/>
          </w:tcPr>
          <w:p>
            <w:pPr>
              <w:keepNext/>
              <w:keepLines/>
              <w:spacing w:after="0"/>
            </w:pPr>
            <w:r/>
            <w:r>
              <w:rPr>
                <w:rFonts w:ascii="Arial" w:hAnsi="Arial"/>
                <w:b w:val="0"/>
                <w:color w:val="111827"/>
                <w:sz w:val="18"/>
              </w:rPr>
              <w:t>Generate ways forward together. 'What could you do? What choices do you have?'</w:t>
            </w:r>
          </w:p>
        </w:tc>
      </w:tr>
      <w:tr>
        <w:trPr>
          <w:cantSplit/>
        </w:trPr>
        <w:tc>
          <w:tcPr>
            <w:tcW w:type="dxa" w:w="4320"/>
          </w:tcPr>
          <w:p>
            <w:pPr>
              <w:keepNext w:val="0"/>
              <w:keepLines/>
              <w:spacing w:after="0"/>
            </w:pPr>
            <w:r/>
            <w:r>
              <w:rPr>
                <w:rFonts w:ascii="Arial" w:hAnsi="Arial"/>
                <w:b/>
                <w:color w:val="111827"/>
                <w:sz w:val="18"/>
              </w:rPr>
              <w:t>W — Will</w:t>
            </w:r>
          </w:p>
        </w:tc>
        <w:tc>
          <w:tcPr>
            <w:tcW w:type="dxa" w:w="4320"/>
          </w:tcPr>
          <w:p>
            <w:pPr>
              <w:keepNext w:val="0"/>
              <w:keepLines/>
              <w:spacing w:after="0"/>
            </w:pPr>
            <w:r/>
            <w:r>
              <w:rPr>
                <w:rFonts w:ascii="Arial" w:hAnsi="Arial"/>
                <w:b w:val="0"/>
                <w:color w:val="111827"/>
                <w:sz w:val="18"/>
              </w:rPr>
              <w:t>Commit to concrete next steps. 'What will you do, and by when?'</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Coach by asking, not telling — it builds ownership. You will use GROW in the role-play, and your feedback is scored against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114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CPA Australia — Singapore businesses lead in AI and data adoption but face cybersecurity challenges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123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125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127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BritCham Singapore — New AgentSea platform lets public healthcare professionals create AI agents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CPA Australia — Singapore businesses lead in AI and data adoption but face cybersecurity challenges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139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140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141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143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Process Excellence Network — H&amp;M debuts AI 'digital twins' of models (Mar 2025)</w:t>
            </w:r>
          </w:p>
        </w:tc>
        <w:tc>
          <w:tcPr>
            <w:tcW w:type="dxa" w:w="2880"/>
            <w:shd w:val="clear" w:color="auto" w:fill="F5F8FC"/>
          </w:tcPr>
          <w:p>
            <w:pPr>
              <w:keepLines/>
              <w:spacing w:after="0"/>
            </w:pPr>
            <w:r/>
            <w:r>
              <w:rPr>
                <w:rFonts w:ascii="Arial" w:hAnsi="Arial"/>
                <w:b w:val="0"/>
                <w:color w:val="111827"/>
                <w:sz w:val="14"/>
              </w:rPr>
              <w:t>https://www.processexcellencenetwork.com/ai/news/hm-debuts-ai-generated-digital-twins-of-fashion-models</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ABC News — AI-generated models in Guess ad in Vogue (Aug 2025)</w:t>
            </w:r>
          </w:p>
        </w:tc>
        <w:tc>
          <w:tcPr>
            <w:tcW w:type="dxa" w:w="2880"/>
          </w:tcPr>
          <w:p>
            <w:pPr>
              <w:keepLines/>
              <w:spacing w:after="0"/>
            </w:pPr>
            <w:r/>
            <w:r>
              <w:rPr>
                <w:rFonts w:ascii="Arial" w:hAnsi="Arial"/>
                <w:b w:val="0"/>
                <w:color w:val="111827"/>
                <w:sz w:val="14"/>
              </w:rPr>
              <w:t>https://abcnews.com/GMA/Style/controversy-stirs-ai-generated-models-new-guess-ads/story?id=124271323</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Entrepreneur — Klarna CEO reverses course, hiring more humans not AI (May 2025)</w:t>
            </w:r>
          </w:p>
        </w:tc>
        <w:tc>
          <w:tcPr>
            <w:tcW w:type="dxa" w:w="2880"/>
            <w:shd w:val="clear" w:color="auto" w:fill="F5F8FC"/>
          </w:tcPr>
          <w:p>
            <w:pPr>
              <w:keepLines/>
              <w:spacing w:after="0"/>
            </w:pPr>
            <w:r/>
            <w:r>
              <w:rPr>
                <w:rFonts w:ascii="Arial" w:hAnsi="Arial"/>
                <w:b w:val="0"/>
                <w:color w:val="111827"/>
                <w:sz w:val="14"/>
              </w:rPr>
              <w:t>https://www.entrepreneur.com/business-news/klarna-ceo-reverses-course-by-hiring-more-humans-not-ai/491396</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r>
        <w:trPr>
          <w:cantSplit/>
        </w:trPr>
        <w:tc>
          <w:tcPr>
            <w:tcW w:type="dxa" w:w="2880"/>
          </w:tcPr>
          <w:p>
            <w:pPr>
              <w:keepLines/>
              <w:spacing w:after="0"/>
            </w:pPr>
            <w:r/>
            <w:r>
              <w:rPr>
                <w:rFonts w:ascii="Arial" w:hAnsi="Arial"/>
                <w:b/>
                <w:color w:val="111827"/>
                <w:sz w:val="14"/>
              </w:rPr>
              <w:t>S61</w:t>
            </w:r>
          </w:p>
        </w:tc>
        <w:tc>
          <w:tcPr>
            <w:tcW w:type="dxa" w:w="2880"/>
          </w:tcPr>
          <w:p>
            <w:pPr>
              <w:keepLines/>
              <w:spacing w:after="0"/>
            </w:pPr>
            <w:r/>
            <w:r>
              <w:rPr>
                <w:rFonts w:ascii="Arial" w:hAnsi="Arial"/>
                <w:b w:val="0"/>
                <w:color w:val="111827"/>
                <w:sz w:val="14"/>
              </w:rPr>
              <w:t>CPA Australia — Singapore businesses lead in AI and data adoption but face cybersecurity challenges (Dec 2025)</w:t>
            </w:r>
          </w:p>
        </w:tc>
        <w:tc>
          <w:tcPr>
            <w:tcW w:type="dxa" w:w="2880"/>
          </w:tcPr>
          <w:p>
            <w:pPr>
              <w:keepLines/>
              <w:spacing w:after="0"/>
            </w:pPr>
            <w:r/>
            <w:r>
              <w:rPr>
                <w:rFonts w:ascii="Arial" w:hAnsi="Arial"/>
                <w:b w:val="0"/>
                <w:color w:val="111827"/>
                <w:sz w:val="14"/>
              </w:rPr>
              <w:t>https://www.cpaaustralia.com.au/about-cpa-australia/media/media-releases/singapore-businesses-lead-in-ai</w:t>
            </w:r>
          </w:p>
        </w:tc>
      </w:tr>
      <w:tr>
        <w:trPr>
          <w:cantSplit/>
        </w:trPr>
        <w:tc>
          <w:tcPr>
            <w:tcW w:type="dxa" w:w="2880"/>
            <w:shd w:val="clear" w:color="auto" w:fill="F5F8FC"/>
          </w:tcPr>
          <w:p>
            <w:pPr>
              <w:keepLines/>
              <w:spacing w:after="0"/>
            </w:pPr>
            <w:r/>
            <w:r>
              <w:rPr>
                <w:rFonts w:ascii="Arial" w:hAnsi="Arial"/>
                <w:b/>
                <w:color w:val="111827"/>
                <w:sz w:val="14"/>
              </w:rPr>
              <w:t>S62</w:t>
            </w:r>
          </w:p>
        </w:tc>
        <w:tc>
          <w:tcPr>
            <w:tcW w:type="dxa" w:w="2880"/>
            <w:shd w:val="clear" w:color="auto" w:fill="F5F8FC"/>
          </w:tcPr>
          <w:p>
            <w:pPr>
              <w:keepLines/>
              <w:spacing w:after="0"/>
            </w:pPr>
            <w:r/>
            <w:r>
              <w:rPr>
                <w:rFonts w:ascii="Arial" w:hAnsi="Arial"/>
                <w:b w:val="0"/>
                <w:color w:val="111827"/>
                <w:sz w:val="14"/>
              </w:rPr>
              <w:t>Tricentis — QA trends 2026: AI, agents and the future of testing (5 Jan 2026)</w:t>
            </w:r>
          </w:p>
        </w:tc>
        <w:tc>
          <w:tcPr>
            <w:tcW w:type="dxa" w:w="2880"/>
            <w:shd w:val="clear" w:color="auto" w:fill="F5F8FC"/>
          </w:tcPr>
          <w:p>
            <w:pPr>
              <w:keepLines/>
              <w:spacing w:after="0"/>
            </w:pPr>
            <w:r/>
            <w:r>
              <w:rPr>
                <w:rFonts w:ascii="Arial" w:hAnsi="Arial"/>
                <w:b w:val="0"/>
                <w:color w:val="111827"/>
                <w:sz w:val="14"/>
              </w:rPr>
              <w:t>https://www.tricentis.com/blog/qa-trends-ai-agentic-testing</w:t>
            </w:r>
          </w:p>
        </w:tc>
      </w:tr>
      <w:tr>
        <w:trPr>
          <w:cantSplit/>
        </w:trPr>
        <w:tc>
          <w:tcPr>
            <w:tcW w:type="dxa" w:w="2880"/>
          </w:tcPr>
          <w:p>
            <w:pPr>
              <w:keepLines/>
              <w:spacing w:after="0"/>
            </w:pPr>
            <w:r/>
            <w:r>
              <w:rPr>
                <w:rFonts w:ascii="Arial" w:hAnsi="Arial"/>
                <w:b/>
                <w:color w:val="111827"/>
                <w:sz w:val="14"/>
              </w:rPr>
              <w:t>S63</w:t>
            </w:r>
          </w:p>
        </w:tc>
        <w:tc>
          <w:tcPr>
            <w:tcW w:type="dxa" w:w="2880"/>
          </w:tcPr>
          <w:p>
            <w:pPr>
              <w:keepLines/>
              <w:spacing w:after="0"/>
            </w:pPr>
            <w:r/>
            <w:r>
              <w:rPr>
                <w:rFonts w:ascii="Arial" w:hAnsi="Arial"/>
                <w:b w:val="0"/>
                <w:color w:val="111827"/>
                <w:sz w:val="14"/>
              </w:rPr>
              <w:t>BritCham Singapore — New AgentSea platform lets public healthcare professionals create AI agents (Aug 2026)</w:t>
            </w:r>
          </w:p>
        </w:tc>
        <w:tc>
          <w:tcPr>
            <w:tcW w:type="dxa" w:w="2880"/>
          </w:tcPr>
          <w:p>
            <w:pPr>
              <w:keepLines/>
              <w:spacing w:after="0"/>
            </w:pPr>
            <w:r/>
            <w:r>
              <w:rPr>
                <w:rFonts w:ascii="Arial" w:hAnsi="Arial"/>
                <w:b w:val="0"/>
                <w:color w:val="111827"/>
                <w:sz w:val="14"/>
              </w:rPr>
              <w:t>https://www.britcham.org.sg/news/new-platform-create-ai-agents-available-all-public-healthcare-professionals</w:t>
            </w:r>
          </w:p>
        </w:tc>
      </w:tr>
      <w:tr>
        <w:trPr>
          <w:cantSplit/>
        </w:trPr>
        <w:tc>
          <w:tcPr>
            <w:tcW w:type="dxa" w:w="2880"/>
            <w:shd w:val="clear" w:color="auto" w:fill="F5F8FC"/>
          </w:tcPr>
          <w:p>
            <w:pPr>
              <w:keepLines/>
              <w:spacing w:after="0"/>
            </w:pPr>
            <w:r/>
            <w:r>
              <w:rPr>
                <w:rFonts w:ascii="Arial" w:hAnsi="Arial"/>
                <w:b/>
                <w:color w:val="111827"/>
                <w:sz w:val="14"/>
              </w:rPr>
              <w:t>S64</w:t>
            </w:r>
          </w:p>
        </w:tc>
        <w:tc>
          <w:tcPr>
            <w:tcW w:type="dxa" w:w="2880"/>
            <w:shd w:val="clear" w:color="auto" w:fill="F5F8FC"/>
          </w:tcPr>
          <w:p>
            <w:pPr>
              <w:keepLines/>
              <w:spacing w:after="0"/>
            </w:pPr>
            <w:r/>
            <w:r>
              <w:rPr>
                <w:rFonts w:ascii="Arial" w:hAnsi="Arial"/>
                <w:b w:val="0"/>
                <w:color w:val="111827"/>
                <w:sz w:val="14"/>
              </w:rPr>
              <w:t>CNA — Gen-AI ads flooding the Singapore market could backfire on brands (24 Aug 2026)</w:t>
            </w:r>
          </w:p>
        </w:tc>
        <w:tc>
          <w:tcPr>
            <w:tcW w:type="dxa" w:w="2880"/>
            <w:shd w:val="clear" w:color="auto" w:fill="F5F8FC"/>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tcPr>
          <w:p>
            <w:pPr>
              <w:keepLines/>
              <w:spacing w:after="0"/>
            </w:pPr>
            <w:r/>
            <w:r>
              <w:rPr>
                <w:rFonts w:ascii="Arial" w:hAnsi="Arial"/>
                <w:b/>
                <w:color w:val="111827"/>
                <w:sz w:val="14"/>
              </w:rPr>
              <w:t>S65</w:t>
            </w:r>
          </w:p>
        </w:tc>
        <w:tc>
          <w:tcPr>
            <w:tcW w:type="dxa" w:w="2880"/>
          </w:tcPr>
          <w:p>
            <w:pPr>
              <w:keepLines/>
              <w:spacing w:after="0"/>
            </w:pPr>
            <w:r/>
            <w:r>
              <w:rPr>
                <w:rFonts w:ascii="Arial" w:hAnsi="Arial"/>
                <w:b w:val="0"/>
                <w:color w:val="111827"/>
                <w:sz w:val="14"/>
              </w:rPr>
              <w:t>MindStudio — DeepSeek Harness: agentic coding where everything is a plugin</w:t>
            </w:r>
          </w:p>
        </w:tc>
        <w:tc>
          <w:tcPr>
            <w:tcW w:type="dxa" w:w="2880"/>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