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Pte Ltd</w:t>
      </w:r>
    </w:p>
    <w:p>
      <w:pPr>
        <w:spacing w:before="0" w:after="200"/>
        <w:jc w:val="center"/>
      </w:pPr>
      <w:r>
        <w:rPr>
          <w:b w:val="0"/>
          <w:color w:val="555B66"/>
          <w:sz w:val="20"/>
        </w:rPr>
        <w:t>UEN: 20120096W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AI Security for Autonomous AI Agents</w:t>
      </w:r>
    </w:p>
    <w:p>
      <w:pPr>
        <w:spacing w:before="80" w:after="280"/>
        <w:jc w:val="center"/>
      </w:pPr>
      <w:r>
        <w:rPr>
          <w:b w:val="0"/>
          <w:color w:val="111827"/>
          <w:sz w:val="24"/>
        </w:rPr>
        <w:t>TGS Ref No: TGS-2025060473</w:t>
      </w:r>
    </w:p>
    <w:p>
      <w:pPr>
        <w:spacing w:before="0" w:after="40"/>
        <w:jc w:val="center"/>
      </w:pPr>
      <w:r>
        <w:rPr>
          <w:b w:val="0"/>
          <w:color w:val="555B66"/>
          <w:sz w:val="22"/>
        </w:rPr>
        <w:t>Conducted by</w:t>
      </w:r>
    </w:p>
    <w:p>
      <w:pPr>
        <w:spacing w:before="0" w:after="40"/>
        <w:jc w:val="center"/>
      </w:pPr>
      <w:r>
        <w:rPr>
          <w:b/>
          <w:color w:val="111827"/>
          <w:sz w:val="26"/>
        </w:rPr>
        <w:t>Tertiary Infotech Pte Ltd</w:t>
      </w:r>
    </w:p>
    <w:p>
      <w:pPr>
        <w:spacing w:before="0" w:after="240"/>
        <w:jc w:val="center"/>
      </w:pPr>
      <w:r>
        <w:rPr>
          <w:b w:val="0"/>
          <w:color w:val="555B66"/>
          <w:sz w:val="22"/>
        </w:rPr>
        <w:t>UEN: 20120096W</w:t>
      </w:r>
    </w:p>
    <w:p>
      <w:pPr>
        <w:spacing w:before="0" w:after="80"/>
        <w:jc w:val="center"/>
      </w:pPr>
      <w:r>
        <w:rPr>
          <w:b/>
          <w:color w:val="1F6FEB"/>
          <w:sz w:val="24"/>
        </w:rPr>
        <w:t>Version 2.0</w:t>
      </w:r>
    </w:p>
    <w:p>
      <w:r>
        <w:br w:type="page"/>
      </w:r>
    </w:p>
    <w:p>
      <w:pPr>
        <w:pStyle w:val="Heading1"/>
      </w:pPr>
      <w:r>
        <w:t>Document Version Control Record</w:t>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16 June 2025</w:t>
            </w:r>
          </w:p>
        </w:tc>
        <w:tc>
          <w:tcPr>
            <w:tcW w:type="dxa" w:w="2160"/>
          </w:tcPr>
          <w:p>
            <w:r/>
            <w:r>
              <w:rPr>
                <w:sz w:val="19"/>
              </w:rPr>
              <w:t>Initial release — Core Principles and Ethical Challenges in Generative AI.</w:t>
            </w:r>
          </w:p>
        </w:tc>
        <w:tc>
          <w:tcPr>
            <w:tcW w:type="dxa" w:w="2160"/>
          </w:tcPr>
          <w:p>
            <w:r/>
            <w:r>
              <w:rPr>
                <w:sz w:val="19"/>
              </w:rPr>
              <w:t>Dr Alfred Ang</w:t>
            </w:r>
          </w:p>
        </w:tc>
      </w:tr>
      <w:tr>
        <w:tc>
          <w:tcPr>
            <w:tcW w:type="dxa" w:w="2160"/>
          </w:tcPr>
          <w:p>
            <w:r/>
            <w:r>
              <w:rPr>
                <w:sz w:val="19"/>
              </w:rPr>
              <w:t>2.0</w:t>
            </w:r>
          </w:p>
        </w:tc>
        <w:tc>
          <w:tcPr>
            <w:tcW w:type="dxa" w:w="2160"/>
          </w:tcPr>
          <w:p>
            <w:r/>
            <w:r>
              <w:rPr>
                <w:sz w:val="19"/>
              </w:rPr>
              <w:t>17 August 2026</w:t>
            </w:r>
          </w:p>
        </w:tc>
        <w:tc>
          <w:tcPr>
            <w:tcW w:type="dxa" w:w="2160"/>
          </w:tcPr>
          <w:p>
            <w:r/>
            <w:r>
              <w:rPr>
                <w:sz w:val="19"/>
              </w:rPr>
              <w:t>Course revised and retitled to AI Security for Autonomous AI Agents. Content rebuilt around AI security for generative AI and autonomous agents (OWASP LLM Top 10 2026, OWASP ASI Top 10 2026, NIST AI RMF, MITRE ATLAS, IMDA Model AI Governance for Agentic AI, PDPA/PDPC). Five real-world case-study activities added. Assessment restructured: Written Assessment (one question per K) and Case Study (one question per LO). Accredited TSC K/A statements unchanged.</w:t>
            </w:r>
          </w:p>
        </w:tc>
        <w:tc>
          <w:tcPr>
            <w:tcW w:type="dxa" w:w="2160"/>
          </w:tcPr>
          <w:p>
            <w:r/>
            <w:r>
              <w:rPr>
                <w:sz w:val="19"/>
              </w:rPr>
              <w:t>Dr Alfred Ang</w:t>
            </w:r>
          </w:p>
        </w:tc>
      </w:tr>
    </w:tbl>
    <w:p>
      <w:r>
        <w:br w:type="page"/>
      </w:r>
    </w:p>
    <w:p>
      <w:pPr>
        <w:pStyle w:val="Heading1"/>
      </w:pPr>
      <w:r>
        <w:t>Table of Contents</w:t>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1. Course Overview</w:t>
      </w:r>
    </w:p>
    <w:p>
      <w:pPr>
        <w:spacing w:after="120"/>
      </w:pPr>
      <w:r>
        <w:rPr>
          <w:rFonts w:ascii="Arial" w:hAnsi="Arial"/>
          <w:b w:val="0"/>
          <w:color w:val="111827"/>
          <w:sz w:val="22"/>
        </w:rPr>
        <w:t>AI Security for Autonomous AI Agents is a 2 Days · 16 Hours WSQ course that equips learners to identify, analyse and mitigate the security risks introduced by generative AI systems and by autonomous AI agents. The course is delivered through real-world case studies drawn from 2026 incidents and is grounded in the current security and governance frameworks, including the OWASP Top 10 for LLM Applications (2026), the OWASP Top 10 for Agentic Applications (2026), the NIST AI Risk Management Framework, MITRE ATLAS, the IMDA Model AI Governance Framework for Agentic AI, and Singapore's PDPA together with the PDPC guidelines on personal data in generative AI.</w:t>
      </w:r>
    </w:p>
    <w:p>
      <w:pPr>
        <w:spacing w:after="120"/>
      </w:pPr>
      <w:r>
        <w:rPr>
          <w:rFonts w:ascii="Arial" w:hAnsi="Arial"/>
          <w:b w:val="0"/>
          <w:color w:val="111827"/>
          <w:sz w:val="22"/>
        </w:rPr>
        <w:t>The course covers AI security for BOTH generative AI (prompt injection, data leakage, poisoning, PDPA exposure) and autonomous agents (uncontrolled and destructive execution, tool misuse, agent vulnerabilities and cyber-attack chains).</w:t>
      </w:r>
    </w:p>
    <w:p>
      <w:pPr>
        <w:pStyle w:val="Heading2"/>
      </w:pPr>
      <w:r>
        <w:t>Skills Framework Alignment</w:t>
      </w:r>
    </w:p>
    <w:tbl>
      <w:tblPr>
        <w:tblStyle w:val="TableGrid"/>
        <w:tblW w:type="auto" w:w="0"/>
        <w:tblLook w:firstColumn="1" w:firstRow="1" w:lastColumn="0" w:lastRow="0" w:noHBand="0" w:noVBand="1" w:val="04A0"/>
      </w:tblPr>
      <w:tblGrid>
        <w:gridCol w:w="4320"/>
        <w:gridCol w:w="4320"/>
      </w:tblGrid>
      <w:tr>
        <w:tc>
          <w:tcPr>
            <w:tcW w:type="dxa" w:w="2736"/>
            <w:shd w:val="clear" w:color="auto" w:fill="1F6FEB"/>
          </w:tcPr>
          <w:p>
            <w:r/>
            <w:r>
              <w:rPr>
                <w:rFonts w:ascii="Arial" w:hAnsi="Arial"/>
                <w:b/>
                <w:color w:val="FFFFFF"/>
                <w:sz w:val="20"/>
              </w:rPr>
              <w:t>Element</w:t>
            </w:r>
          </w:p>
        </w:tc>
        <w:tc>
          <w:tcPr>
            <w:tcW w:type="dxa" w:w="7560"/>
            <w:shd w:val="clear" w:color="auto" w:fill="1F6FEB"/>
          </w:tcPr>
          <w:p>
            <w:r/>
            <w:r>
              <w:rPr>
                <w:rFonts w:ascii="Arial" w:hAnsi="Arial"/>
                <w:b/>
                <w:color w:val="FFFFFF"/>
                <w:sz w:val="20"/>
              </w:rPr>
              <w:t>Detail</w:t>
            </w:r>
          </w:p>
        </w:tc>
      </w:tr>
      <w:tr>
        <w:tc>
          <w:tcPr>
            <w:tcW w:type="dxa" w:w="2736"/>
          </w:tcPr>
          <w:p>
            <w:r/>
            <w:r>
              <w:rPr>
                <w:rFonts w:ascii="Arial" w:hAnsi="Arial"/>
                <w:b/>
                <w:sz w:val="19"/>
              </w:rPr>
              <w:t>TSC Title</w:t>
            </w:r>
          </w:p>
        </w:tc>
        <w:tc>
          <w:tcPr>
            <w:tcW w:type="dxa" w:w="7560"/>
          </w:tcPr>
          <w:p>
            <w:r/>
            <w:r>
              <w:rPr>
                <w:rFonts w:ascii="Arial" w:hAnsi="Arial"/>
                <w:b w:val="0"/>
                <w:sz w:val="19"/>
              </w:rPr>
              <w:t>Generative AI Principles and Applications</w:t>
            </w:r>
          </w:p>
        </w:tc>
      </w:tr>
      <w:tr>
        <w:tc>
          <w:tcPr>
            <w:tcW w:type="dxa" w:w="2736"/>
          </w:tcPr>
          <w:p>
            <w:r/>
            <w:r>
              <w:rPr>
                <w:rFonts w:ascii="Arial" w:hAnsi="Arial"/>
                <w:b/>
                <w:sz w:val="19"/>
              </w:rPr>
              <w:t>TSC Code</w:t>
            </w:r>
          </w:p>
        </w:tc>
        <w:tc>
          <w:tcPr>
            <w:tcW w:type="dxa" w:w="7560"/>
          </w:tcPr>
          <w:p>
            <w:r/>
            <w:r>
              <w:rPr>
                <w:rFonts w:ascii="Arial" w:hAnsi="Arial"/>
                <w:b w:val="0"/>
                <w:sz w:val="19"/>
              </w:rPr>
              <w:t>ICT-INT-0052-1.1</w:t>
            </w:r>
          </w:p>
        </w:tc>
      </w:tr>
      <w:tr>
        <w:tc>
          <w:tcPr>
            <w:tcW w:type="dxa" w:w="2736"/>
          </w:tcPr>
          <w:p>
            <w:r/>
            <w:r>
              <w:rPr>
                <w:rFonts w:ascii="Arial" w:hAnsi="Arial"/>
                <w:b/>
                <w:sz w:val="19"/>
              </w:rPr>
              <w:t>Proficiency Level</w:t>
            </w:r>
          </w:p>
        </w:tc>
        <w:tc>
          <w:tcPr>
            <w:tcW w:type="dxa" w:w="7560"/>
          </w:tcPr>
          <w:p>
            <w:r/>
            <w:r>
              <w:rPr>
                <w:rFonts w:ascii="Arial" w:hAnsi="Arial"/>
                <w:b w:val="0"/>
                <w:sz w:val="19"/>
              </w:rPr>
              <w:t>Level 1</w:t>
            </w:r>
          </w:p>
        </w:tc>
      </w:tr>
      <w:tr>
        <w:tc>
          <w:tcPr>
            <w:tcW w:type="dxa" w:w="2736"/>
          </w:tcPr>
          <w:p>
            <w:r/>
            <w:r>
              <w:rPr>
                <w:rFonts w:ascii="Arial" w:hAnsi="Arial"/>
                <w:b/>
                <w:sz w:val="19"/>
              </w:rPr>
              <w:t>Course Code</w:t>
            </w:r>
          </w:p>
        </w:tc>
        <w:tc>
          <w:tcPr>
            <w:tcW w:type="dxa" w:w="7560"/>
          </w:tcPr>
          <w:p>
            <w:r/>
            <w:r>
              <w:rPr>
                <w:rFonts w:ascii="Arial" w:hAnsi="Arial"/>
                <w:b w:val="0"/>
                <w:sz w:val="19"/>
              </w:rPr>
              <w:t>TGS-2025060473</w:t>
            </w:r>
          </w:p>
        </w:tc>
      </w:tr>
      <w:tr>
        <w:tc>
          <w:tcPr>
            <w:tcW w:type="dxa" w:w="2736"/>
          </w:tcPr>
          <w:p>
            <w:r/>
            <w:r>
              <w:rPr>
                <w:rFonts w:ascii="Arial" w:hAnsi="Arial"/>
                <w:b/>
                <w:sz w:val="19"/>
              </w:rPr>
              <w:t>Duration</w:t>
            </w:r>
          </w:p>
        </w:tc>
        <w:tc>
          <w:tcPr>
            <w:tcW w:type="dxa" w:w="7560"/>
          </w:tcPr>
          <w:p>
            <w:r/>
            <w:r>
              <w:rPr>
                <w:rFonts w:ascii="Arial" w:hAnsi="Arial"/>
                <w:b w:val="0"/>
                <w:sz w:val="19"/>
              </w:rPr>
              <w:t>2 Days · 16 Hours</w:t>
            </w:r>
          </w:p>
        </w:tc>
      </w:tr>
      <w:tr>
        <w:tc>
          <w:tcPr>
            <w:tcW w:type="dxa" w:w="2736"/>
          </w:tcPr>
          <w:p>
            <w:r/>
            <w:r>
              <w:rPr>
                <w:rFonts w:ascii="Arial" w:hAnsi="Arial"/>
                <w:b/>
                <w:sz w:val="19"/>
              </w:rPr>
              <w:t>Delivery</w:t>
            </w:r>
          </w:p>
        </w:tc>
        <w:tc>
          <w:tcPr>
            <w:tcW w:type="dxa" w:w="7560"/>
          </w:tcPr>
          <w:p>
            <w:r/>
            <w:r>
              <w:rPr>
                <w:rFonts w:ascii="Arial" w:hAnsi="Arial"/>
                <w:b w:val="0"/>
                <w:sz w:val="19"/>
              </w:rPr>
              <w:t>Instructor-led classroom with facilitated case-study activities</w:t>
            </w:r>
          </w:p>
        </w:tc>
      </w:tr>
    </w:tbl>
    <w:p>
      <w:pPr>
        <w:spacing w:after="120"/>
      </w:pPr>
      <w:r>
        <w:rPr>
          <w:rFonts w:ascii="Arial" w:hAnsi="Arial"/>
          <w:b w:val="0"/>
          <w:color w:val="111827"/>
          <w:sz w:val="22"/>
        </w:rPr>
      </w:r>
    </w:p>
    <w:p>
      <w:pPr>
        <w:spacing w:after="120"/>
      </w:pPr>
      <w:r>
        <w:rPr>
          <w:rFonts w:ascii="Arial" w:hAnsi="Arial"/>
          <w:b w:val="0"/>
          <w:color w:val="555B66"/>
          <w:sz w:val="19"/>
        </w:rPr>
        <w:t>Note: the accredited knowledge and ability statements below are reproduced verbatim. They are taught and assessed as accredited; AI security is the delivery context through which each statement is evidenced.</w:t>
      </w:r>
    </w:p>
    <w:p>
      <w:pPr>
        <w:pStyle w:val="Heading2"/>
      </w:pPr>
      <w:r>
        <w:t>Learning Outcomes</w:t>
      </w:r>
    </w:p>
    <w:tbl>
      <w:tblPr>
        <w:tblStyle w:val="TableGrid"/>
        <w:tblW w:type="auto" w:w="0"/>
        <w:tblLook w:firstColumn="1" w:firstRow="1" w:lastColumn="0" w:lastRow="0" w:noHBand="0" w:noVBand="1" w:val="04A0"/>
      </w:tblPr>
      <w:tblGrid>
        <w:gridCol w:w="4320"/>
        <w:gridCol w:w="4320"/>
      </w:tblGrid>
      <w:tr>
        <w:tc>
          <w:tcPr>
            <w:tcW w:type="dxa" w:w="1008"/>
            <w:shd w:val="clear" w:color="auto" w:fill="1F6FEB"/>
          </w:tcPr>
          <w:p>
            <w:r/>
            <w:r>
              <w:rPr>
                <w:rFonts w:ascii="Arial" w:hAnsi="Arial"/>
                <w:b/>
                <w:color w:val="FFFFFF"/>
                <w:sz w:val="20"/>
              </w:rPr>
              <w:t>LO</w:t>
            </w:r>
          </w:p>
        </w:tc>
        <w:tc>
          <w:tcPr>
            <w:tcW w:type="dxa" w:w="9288"/>
            <w:shd w:val="clear" w:color="auto" w:fill="1F6FEB"/>
          </w:tcPr>
          <w:p>
            <w:r/>
            <w:r>
              <w:rPr>
                <w:rFonts w:ascii="Arial" w:hAnsi="Arial"/>
                <w:b/>
                <w:color w:val="FFFFFF"/>
                <w:sz w:val="20"/>
              </w:rPr>
              <w:t>Learning Outcome</w:t>
            </w:r>
          </w:p>
        </w:tc>
      </w:tr>
      <w:tr>
        <w:tc>
          <w:tcPr>
            <w:tcW w:type="dxa" w:w="1008"/>
          </w:tcPr>
          <w:p>
            <w:r/>
            <w:r>
              <w:rPr>
                <w:rFonts w:ascii="Arial" w:hAnsi="Arial"/>
                <w:b/>
                <w:sz w:val="19"/>
              </w:rPr>
              <w:t>LO1</w:t>
            </w:r>
          </w:p>
        </w:tc>
        <w:tc>
          <w:tcPr>
            <w:tcW w:type="dxa" w:w="9288"/>
          </w:tcPr>
          <w:p>
            <w:r/>
            <w:r>
              <w:rPr>
                <w:rFonts w:ascii="Arial" w:hAnsi="Arial"/>
                <w:b w:val="0"/>
                <w:sz w:val="19"/>
              </w:rPr>
              <w:t>Demonstrate generative AI concepts and applications relevant to customer service and hospitality management.</w:t>
            </w:r>
          </w:p>
        </w:tc>
      </w:tr>
      <w:tr>
        <w:tc>
          <w:tcPr>
            <w:tcW w:type="dxa" w:w="1008"/>
          </w:tcPr>
          <w:p>
            <w:r/>
            <w:r>
              <w:rPr>
                <w:rFonts w:ascii="Arial" w:hAnsi="Arial"/>
                <w:b/>
                <w:sz w:val="19"/>
              </w:rPr>
              <w:t>LO2</w:t>
            </w:r>
          </w:p>
        </w:tc>
        <w:tc>
          <w:tcPr>
            <w:tcW w:type="dxa" w:w="9288"/>
          </w:tcPr>
          <w:p>
            <w:r/>
            <w:r>
              <w:rPr>
                <w:rFonts w:ascii="Arial" w:hAnsi="Arial"/>
                <w:b w:val="0"/>
                <w:sz w:val="19"/>
              </w:rPr>
              <w:t>Apply prompt engineering techniques and analyse output variations to improve generative AI performance in service settings.</w:t>
            </w:r>
          </w:p>
        </w:tc>
      </w:tr>
      <w:tr>
        <w:tc>
          <w:tcPr>
            <w:tcW w:type="dxa" w:w="1008"/>
          </w:tcPr>
          <w:p>
            <w:r/>
            <w:r>
              <w:rPr>
                <w:rFonts w:ascii="Arial" w:hAnsi="Arial"/>
                <w:b/>
                <w:sz w:val="19"/>
              </w:rPr>
              <w:t>LO3</w:t>
            </w:r>
          </w:p>
        </w:tc>
        <w:tc>
          <w:tcPr>
            <w:tcW w:type="dxa" w:w="9288"/>
          </w:tcPr>
          <w:p>
            <w:r/>
            <w:r>
              <w:rPr>
                <w:rFonts w:ascii="Arial" w:hAnsi="Arial"/>
                <w:b w:val="0"/>
                <w:sz w:val="19"/>
              </w:rPr>
              <w:t>Identify ethical risks and analyse bias in AI-generated content used in customer engagement.</w:t>
            </w:r>
          </w:p>
        </w:tc>
      </w:tr>
    </w:tbl>
    <w:p>
      <w:pPr>
        <w:pStyle w:val="Heading2"/>
      </w:pPr>
      <w:r>
        <w:t>Knowledge Statements (assessed by the Written Assessment)</w:t>
      </w:r>
    </w:p>
    <w:tbl>
      <w:tblPr>
        <w:tblStyle w:val="TableGrid"/>
        <w:tblW w:type="auto" w:w="0"/>
        <w:tblLook w:firstColumn="1" w:firstRow="1" w:lastColumn="0" w:lastRow="0" w:noHBand="0" w:noVBand="1" w:val="04A0"/>
      </w:tblPr>
      <w:tblGrid>
        <w:gridCol w:w="4320"/>
        <w:gridCol w:w="4320"/>
      </w:tblGrid>
      <w:tr>
        <w:tc>
          <w:tcPr>
            <w:tcW w:type="dxa" w:w="1008"/>
            <w:shd w:val="clear" w:color="auto" w:fill="1F6FEB"/>
          </w:tcPr>
          <w:p>
            <w:r/>
            <w:r>
              <w:rPr>
                <w:rFonts w:ascii="Arial" w:hAnsi="Arial"/>
                <w:b/>
                <w:color w:val="FFFFFF"/>
                <w:sz w:val="20"/>
              </w:rPr>
              <w:t>Code</w:t>
            </w:r>
          </w:p>
        </w:tc>
        <w:tc>
          <w:tcPr>
            <w:tcW w:type="dxa" w:w="9288"/>
            <w:shd w:val="clear" w:color="auto" w:fill="1F6FEB"/>
          </w:tcPr>
          <w:p>
            <w:r/>
            <w:r>
              <w:rPr>
                <w:rFonts w:ascii="Arial" w:hAnsi="Arial"/>
                <w:b/>
                <w:color w:val="FFFFFF"/>
                <w:sz w:val="20"/>
              </w:rPr>
              <w:t>Knowledge statement</w:t>
            </w:r>
          </w:p>
        </w:tc>
      </w:tr>
      <w:tr>
        <w:tc>
          <w:tcPr>
            <w:tcW w:type="dxa" w:w="1008"/>
          </w:tcPr>
          <w:p>
            <w:r/>
            <w:r>
              <w:rPr>
                <w:rFonts w:ascii="Arial" w:hAnsi="Arial"/>
                <w:b/>
                <w:sz w:val="19"/>
              </w:rPr>
              <w:t>K1</w:t>
            </w:r>
          </w:p>
        </w:tc>
        <w:tc>
          <w:tcPr>
            <w:tcW w:type="dxa" w:w="9288"/>
          </w:tcPr>
          <w:p>
            <w:r/>
            <w:r>
              <w:rPr>
                <w:rFonts w:ascii="Arial" w:hAnsi="Arial"/>
                <w:b w:val="0"/>
                <w:sz w:val="19"/>
              </w:rPr>
              <w:t>Importance of data quality, preprocessing, model pipeline and model training (e.g., impact of data bias from training data)</w:t>
            </w:r>
          </w:p>
        </w:tc>
      </w:tr>
      <w:tr>
        <w:tc>
          <w:tcPr>
            <w:tcW w:type="dxa" w:w="1008"/>
          </w:tcPr>
          <w:p>
            <w:r/>
            <w:r>
              <w:rPr>
                <w:rFonts w:ascii="Arial" w:hAnsi="Arial"/>
                <w:b/>
                <w:sz w:val="19"/>
              </w:rPr>
              <w:t>K2</w:t>
            </w:r>
          </w:p>
        </w:tc>
        <w:tc>
          <w:tcPr>
            <w:tcW w:type="dxa" w:w="9288"/>
          </w:tcPr>
          <w:p>
            <w:r/>
            <w:r>
              <w:rPr>
                <w:rFonts w:ascii="Arial" w:hAnsi="Arial"/>
                <w:b w:val="0"/>
                <w:sz w:val="19"/>
              </w:rPr>
              <w:t>Underlying principles, core concepts and theories governing generative AI</w:t>
            </w:r>
          </w:p>
        </w:tc>
      </w:tr>
      <w:tr>
        <w:tc>
          <w:tcPr>
            <w:tcW w:type="dxa" w:w="1008"/>
          </w:tcPr>
          <w:p>
            <w:r/>
            <w:r>
              <w:rPr>
                <w:rFonts w:ascii="Arial" w:hAnsi="Arial"/>
                <w:b/>
                <w:sz w:val="19"/>
              </w:rPr>
              <w:t>K3</w:t>
            </w:r>
          </w:p>
        </w:tc>
        <w:tc>
          <w:tcPr>
            <w:tcW w:type="dxa" w:w="9288"/>
          </w:tcPr>
          <w:p>
            <w:r/>
            <w:r>
              <w:rPr>
                <w:rFonts w:ascii="Arial" w:hAnsi="Arial"/>
                <w:b w:val="0"/>
                <w:sz w:val="19"/>
              </w:rPr>
              <w:t>Difference between generative and discriminative models</w:t>
            </w:r>
          </w:p>
        </w:tc>
      </w:tr>
      <w:tr>
        <w:tc>
          <w:tcPr>
            <w:tcW w:type="dxa" w:w="1008"/>
          </w:tcPr>
          <w:p>
            <w:r/>
            <w:r>
              <w:rPr>
                <w:rFonts w:ascii="Arial" w:hAnsi="Arial"/>
                <w:b/>
                <w:sz w:val="19"/>
              </w:rPr>
              <w:t>K4</w:t>
            </w:r>
          </w:p>
        </w:tc>
        <w:tc>
          <w:tcPr>
            <w:tcW w:type="dxa" w:w="9288"/>
          </w:tcPr>
          <w:p>
            <w:r/>
            <w:r>
              <w:rPr>
                <w:rFonts w:ascii="Arial" w:hAnsi="Arial"/>
                <w:b w:val="0"/>
                <w:sz w:val="19"/>
              </w:rPr>
              <w:t>Impact of prompt engineering on the model outputs of generative AI</w:t>
            </w:r>
          </w:p>
        </w:tc>
      </w:tr>
      <w:tr>
        <w:tc>
          <w:tcPr>
            <w:tcW w:type="dxa" w:w="1008"/>
          </w:tcPr>
          <w:p>
            <w:r/>
            <w:r>
              <w:rPr>
                <w:rFonts w:ascii="Arial" w:hAnsi="Arial"/>
                <w:b/>
                <w:sz w:val="19"/>
              </w:rPr>
              <w:t>K5</w:t>
            </w:r>
          </w:p>
        </w:tc>
        <w:tc>
          <w:tcPr>
            <w:tcW w:type="dxa" w:w="9288"/>
          </w:tcPr>
          <w:p>
            <w:r/>
            <w:r>
              <w:rPr>
                <w:rFonts w:ascii="Arial" w:hAnsi="Arial"/>
                <w:b w:val="0"/>
                <w:sz w:val="19"/>
              </w:rPr>
              <w:t>Generative AI model workings, including training data, algorithms, and outputs</w:t>
            </w:r>
          </w:p>
        </w:tc>
      </w:tr>
    </w:tbl>
    <w:p>
      <w:pPr>
        <w:pStyle w:val="Heading2"/>
      </w:pPr>
      <w:r>
        <w:t>Ability Statements (assessed by the Case Study)</w:t>
      </w:r>
    </w:p>
    <w:tbl>
      <w:tblPr>
        <w:tblStyle w:val="TableGrid"/>
        <w:tblW w:type="auto" w:w="0"/>
        <w:tblLook w:firstColumn="1" w:firstRow="1" w:lastColumn="0" w:lastRow="0" w:noHBand="0" w:noVBand="1" w:val="04A0"/>
      </w:tblPr>
      <w:tblGrid>
        <w:gridCol w:w="4320"/>
        <w:gridCol w:w="4320"/>
      </w:tblGrid>
      <w:tr>
        <w:tc>
          <w:tcPr>
            <w:tcW w:type="dxa" w:w="1008"/>
            <w:shd w:val="clear" w:color="auto" w:fill="1F6FEB"/>
          </w:tcPr>
          <w:p>
            <w:r/>
            <w:r>
              <w:rPr>
                <w:rFonts w:ascii="Arial" w:hAnsi="Arial"/>
                <w:b/>
                <w:color w:val="FFFFFF"/>
                <w:sz w:val="20"/>
              </w:rPr>
              <w:t>Code</w:t>
            </w:r>
          </w:p>
        </w:tc>
        <w:tc>
          <w:tcPr>
            <w:tcW w:type="dxa" w:w="9288"/>
            <w:shd w:val="clear" w:color="auto" w:fill="1F6FEB"/>
          </w:tcPr>
          <w:p>
            <w:r/>
            <w:r>
              <w:rPr>
                <w:rFonts w:ascii="Arial" w:hAnsi="Arial"/>
                <w:b/>
                <w:color w:val="FFFFFF"/>
                <w:sz w:val="20"/>
              </w:rPr>
              <w:t>Ability statement</w:t>
            </w:r>
          </w:p>
        </w:tc>
      </w:tr>
      <w:tr>
        <w:tc>
          <w:tcPr>
            <w:tcW w:type="dxa" w:w="1008"/>
          </w:tcPr>
          <w:p>
            <w:r/>
            <w:r>
              <w:rPr>
                <w:rFonts w:ascii="Arial" w:hAnsi="Arial"/>
                <w:b/>
                <w:sz w:val="19"/>
              </w:rPr>
              <w:t>A1</w:t>
            </w:r>
          </w:p>
        </w:tc>
        <w:tc>
          <w:tcPr>
            <w:tcW w:type="dxa" w:w="9288"/>
          </w:tcPr>
          <w:p>
            <w:r/>
            <w:r>
              <w:rPr>
                <w:rFonts w:ascii="Arial" w:hAnsi="Arial"/>
                <w:b w:val="0"/>
                <w:sz w:val="19"/>
              </w:rPr>
              <w:t>Analyse limitations and potential biases in AI-generated content</w:t>
            </w:r>
          </w:p>
        </w:tc>
      </w:tr>
      <w:tr>
        <w:tc>
          <w:tcPr>
            <w:tcW w:type="dxa" w:w="1008"/>
          </w:tcPr>
          <w:p>
            <w:r/>
            <w:r>
              <w:rPr>
                <w:rFonts w:ascii="Arial" w:hAnsi="Arial"/>
                <w:b/>
                <w:sz w:val="19"/>
              </w:rPr>
              <w:t>A2</w:t>
            </w:r>
          </w:p>
        </w:tc>
        <w:tc>
          <w:tcPr>
            <w:tcW w:type="dxa" w:w="9288"/>
          </w:tcPr>
          <w:p>
            <w:r/>
            <w:r>
              <w:rPr>
                <w:rFonts w:ascii="Arial" w:hAnsi="Arial"/>
                <w:b w:val="0"/>
                <w:sz w:val="19"/>
              </w:rPr>
              <w:t>Identify the ethical implications and societal impact of AI-generated content</w:t>
            </w:r>
          </w:p>
        </w:tc>
      </w:tr>
      <w:tr>
        <w:tc>
          <w:tcPr>
            <w:tcW w:type="dxa" w:w="1008"/>
          </w:tcPr>
          <w:p>
            <w:r/>
            <w:r>
              <w:rPr>
                <w:rFonts w:ascii="Arial" w:hAnsi="Arial"/>
                <w:b/>
                <w:sz w:val="19"/>
              </w:rPr>
              <w:t>A3</w:t>
            </w:r>
          </w:p>
        </w:tc>
        <w:tc>
          <w:tcPr>
            <w:tcW w:type="dxa" w:w="9288"/>
          </w:tcPr>
          <w:p>
            <w:r/>
            <w:r>
              <w:rPr>
                <w:rFonts w:ascii="Arial" w:hAnsi="Arial"/>
                <w:b w:val="0"/>
                <w:sz w:val="19"/>
              </w:rPr>
              <w:t>Apply understanding of generative AI principles to use cases</w:t>
            </w:r>
          </w:p>
        </w:tc>
      </w:tr>
      <w:tr>
        <w:tc>
          <w:tcPr>
            <w:tcW w:type="dxa" w:w="1008"/>
          </w:tcPr>
          <w:p>
            <w:r/>
            <w:r>
              <w:rPr>
                <w:rFonts w:ascii="Arial" w:hAnsi="Arial"/>
                <w:b/>
                <w:sz w:val="19"/>
              </w:rPr>
              <w:t>A4</w:t>
            </w:r>
          </w:p>
        </w:tc>
        <w:tc>
          <w:tcPr>
            <w:tcW w:type="dxa" w:w="9288"/>
          </w:tcPr>
          <w:p>
            <w:r/>
            <w:r>
              <w:rPr>
                <w:rFonts w:ascii="Arial" w:hAnsi="Arial"/>
                <w:b w:val="0"/>
                <w:sz w:val="19"/>
              </w:rPr>
              <w:t>Demonstrate the use of generation AI in diverse applications (e.g., summarisation, inference, reasoning, transformation of content, augmentation of content)</w:t>
            </w:r>
          </w:p>
        </w:tc>
      </w:tr>
      <w:tr>
        <w:tc>
          <w:tcPr>
            <w:tcW w:type="dxa" w:w="1008"/>
          </w:tcPr>
          <w:p>
            <w:r/>
            <w:r>
              <w:rPr>
                <w:rFonts w:ascii="Arial" w:hAnsi="Arial"/>
                <w:b/>
                <w:sz w:val="19"/>
              </w:rPr>
              <w:t>A5</w:t>
            </w:r>
          </w:p>
        </w:tc>
        <w:tc>
          <w:tcPr>
            <w:tcW w:type="dxa" w:w="9288"/>
          </w:tcPr>
          <w:p>
            <w:r/>
            <w:r>
              <w:rPr>
                <w:rFonts w:ascii="Arial" w:hAnsi="Arial"/>
                <w:b w:val="0"/>
                <w:sz w:val="19"/>
              </w:rPr>
              <w:t>Analyse generative AI models' performance metrics and evaluate the influence of prompt variations</w:t>
            </w:r>
          </w:p>
        </w:tc>
      </w:tr>
    </w:tbl>
    <w:p>
      <w:r>
        <w:br w:type="page"/>
      </w:r>
    </w:p>
    <w:p>
      <w:pPr>
        <w:pStyle w:val="Heading1"/>
      </w:pPr>
      <w:r>
        <w:t>2. Daily Schedule</w:t>
      </w:r>
    </w:p>
    <w:p>
      <w:pPr>
        <w:spacing w:after="120"/>
      </w:pPr>
      <w:r>
        <w:rPr>
          <w:rFonts w:ascii="Arial" w:hAnsi="Arial"/>
          <w:b w:val="0"/>
          <w:color w:val="555B66"/>
          <w:sz w:val="20"/>
        </w:rPr>
        <w:t>Each training day runs 9:30am – 6:30pm and delivers 8 instructional hours. A 1-hour lunch break is excluded from instructional time; short tea breaks are counted within the day.</w:t>
      </w:r>
    </w:p>
    <w:p>
      <w:pPr>
        <w:pStyle w:val="Heading2"/>
      </w:pPr>
      <w:r>
        <w:t>Day 1 — Generative AI Security</w:t>
      </w:r>
    </w:p>
    <w:p>
      <w:pPr>
        <w:spacing w:after="120"/>
      </w:pPr>
      <w:r>
        <w:rPr>
          <w:rFonts w:ascii="Arial" w:hAnsi="Arial"/>
          <w:b w:val="0"/>
          <w:color w:val="555B66"/>
          <w:sz w:val="19"/>
        </w:rPr>
        <w:t>Slides 1–30 of the trainer deck.</w:t>
      </w:r>
    </w:p>
    <w:tbl>
      <w:tblPr>
        <w:tblStyle w:val="TableGrid"/>
        <w:tblW w:type="auto" w:w="0"/>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7416"/>
            <w:shd w:val="clear" w:color="auto" w:fill="1F6FEB"/>
          </w:tcPr>
          <w:p>
            <w:r/>
            <w:r>
              <w:rPr>
                <w:rFonts w:ascii="Arial" w:hAnsi="Arial"/>
                <w:b/>
                <w:color w:val="FFFFFF"/>
                <w:sz w:val="20"/>
              </w:rPr>
              <w:t>Topic / Activity</w:t>
            </w:r>
          </w:p>
        </w:tc>
        <w:tc>
          <w:tcPr>
            <w:tcW w:type="dxa" w:w="1224"/>
            <w:shd w:val="clear" w:color="auto" w:fill="1F6FEB"/>
          </w:tcPr>
          <w:p>
            <w:r/>
            <w:r>
              <w:rPr>
                <w:rFonts w:ascii="Arial" w:hAnsi="Arial"/>
                <w:b/>
                <w:color w:val="FFFFFF"/>
                <w:sz w:val="20"/>
              </w:rPr>
              <w:t>Duration</w:t>
            </w:r>
          </w:p>
        </w:tc>
      </w:tr>
      <w:tr>
        <w:tc>
          <w:tcPr>
            <w:tcW w:type="dxa" w:w="1656"/>
            <w:shd w:val="clear" w:color="auto" w:fill="F2F4F7"/>
          </w:tcPr>
          <w:p>
            <w:r/>
            <w:r>
              <w:rPr>
                <w:rFonts w:ascii="Arial" w:hAnsi="Arial"/>
                <w:b w:val="0"/>
                <w:sz w:val="19"/>
              </w:rPr>
              <w:t>9:30 – 9:45</w:t>
            </w:r>
          </w:p>
        </w:tc>
        <w:tc>
          <w:tcPr>
            <w:tcW w:type="dxa" w:w="7416"/>
            <w:shd w:val="clear" w:color="auto" w:fill="F2F4F7"/>
          </w:tcPr>
          <w:p>
            <w:r/>
            <w:r>
              <w:rPr>
                <w:rFonts w:ascii="Arial" w:hAnsi="Arial"/>
                <w:b w:val="0"/>
                <w:sz w:val="19"/>
              </w:rPr>
              <w:t>Welcome, digital attendance (AM), introductions and ground rules</w:t>
            </w:r>
          </w:p>
        </w:tc>
        <w:tc>
          <w:tcPr>
            <w:tcW w:type="dxa" w:w="1224"/>
            <w:shd w:val="clear" w:color="auto" w:fill="F2F4F7"/>
          </w:tcPr>
          <w:p>
            <w:r/>
            <w:r>
              <w:rPr>
                <w:rFonts w:ascii="Arial" w:hAnsi="Arial"/>
                <w:b w:val="0"/>
                <w:sz w:val="19"/>
              </w:rPr>
              <w:t>15 min</w:t>
            </w:r>
          </w:p>
        </w:tc>
      </w:tr>
      <w:tr>
        <w:tc>
          <w:tcPr>
            <w:tcW w:type="dxa" w:w="1656"/>
            <w:shd w:val="clear" w:color="auto" w:fill="F2F4F7"/>
          </w:tcPr>
          <w:p>
            <w:r/>
            <w:r>
              <w:rPr>
                <w:rFonts w:ascii="Arial" w:hAnsi="Arial"/>
                <w:b w:val="0"/>
                <w:sz w:val="19"/>
              </w:rPr>
              <w:t>9:45 – 10:00</w:t>
            </w:r>
          </w:p>
        </w:tc>
        <w:tc>
          <w:tcPr>
            <w:tcW w:type="dxa" w:w="7416"/>
            <w:shd w:val="clear" w:color="auto" w:fill="F2F4F7"/>
          </w:tcPr>
          <w:p>
            <w:r/>
            <w:r>
              <w:rPr>
                <w:rFonts w:ascii="Arial" w:hAnsi="Arial"/>
                <w:b w:val="0"/>
                <w:sz w:val="19"/>
              </w:rPr>
              <w:t>Course overview, learning outcomes and assessment briefing</w:t>
            </w:r>
          </w:p>
        </w:tc>
        <w:tc>
          <w:tcPr>
            <w:tcW w:type="dxa" w:w="1224"/>
            <w:shd w:val="clear" w:color="auto" w:fill="F2F4F7"/>
          </w:tcPr>
          <w:p>
            <w:r/>
            <w:r>
              <w:rPr>
                <w:rFonts w:ascii="Arial" w:hAnsi="Arial"/>
                <w:b w:val="0"/>
                <w:sz w:val="19"/>
              </w:rPr>
              <w:t>15 min</w:t>
            </w:r>
          </w:p>
        </w:tc>
      </w:tr>
      <w:tr>
        <w:tc>
          <w:tcPr>
            <w:tcW w:type="dxa" w:w="1656"/>
            <w:shd w:val="clear" w:color="auto" w:fill="E8F0FE"/>
          </w:tcPr>
          <w:p>
            <w:r/>
            <w:r>
              <w:rPr>
                <w:rFonts w:ascii="Arial" w:hAnsi="Arial"/>
                <w:b w:val="0"/>
                <w:sz w:val="19"/>
              </w:rPr>
              <w:t>10:00 – 10:45</w:t>
            </w:r>
          </w:p>
        </w:tc>
        <w:tc>
          <w:tcPr>
            <w:tcW w:type="dxa" w:w="7416"/>
            <w:shd w:val="clear" w:color="auto" w:fill="E8F0FE"/>
          </w:tcPr>
          <w:p>
            <w:r/>
            <w:r>
              <w:rPr>
                <w:rFonts w:ascii="Arial" w:hAnsi="Arial"/>
                <w:b w:val="0"/>
                <w:sz w:val="19"/>
              </w:rPr>
              <w:t>LU1 T1: The AI security threat landscape — why generative AI breaks classical security assumptions (K2)</w:t>
            </w:r>
          </w:p>
        </w:tc>
        <w:tc>
          <w:tcPr>
            <w:tcW w:type="dxa" w:w="1224"/>
            <w:shd w:val="clear" w:color="auto" w:fill="E8F0FE"/>
          </w:tcPr>
          <w:p>
            <w:r/>
            <w:r>
              <w:rPr>
                <w:rFonts w:ascii="Arial" w:hAnsi="Arial"/>
                <w:b w:val="0"/>
                <w:sz w:val="19"/>
              </w:rPr>
              <w:t>45 min</w:t>
            </w:r>
          </w:p>
        </w:tc>
      </w:tr>
      <w:tr>
        <w:tc>
          <w:tcPr>
            <w:tcW w:type="dxa" w:w="1656"/>
            <w:shd w:val="clear" w:color="auto" w:fill="FDF3E3"/>
          </w:tcPr>
          <w:p>
            <w:r/>
            <w:r>
              <w:rPr>
                <w:rFonts w:ascii="Arial" w:hAnsi="Arial"/>
                <w:b w:val="0"/>
                <w:sz w:val="19"/>
              </w:rPr>
              <w:t>10:45 – 11:00</w:t>
            </w:r>
          </w:p>
        </w:tc>
        <w:tc>
          <w:tcPr>
            <w:tcW w:type="dxa" w:w="7416"/>
            <w:shd w:val="clear" w:color="auto" w:fill="FDF3E3"/>
          </w:tcPr>
          <w:p>
            <w:r/>
            <w:r>
              <w:rPr>
                <w:rFonts w:ascii="Arial" w:hAnsi="Arial"/>
                <w:b w:val="0"/>
                <w:sz w:val="19"/>
              </w:rPr>
              <w:t>Tea break</w:t>
            </w:r>
          </w:p>
        </w:tc>
        <w:tc>
          <w:tcPr>
            <w:tcW w:type="dxa" w:w="1224"/>
            <w:shd w:val="clear" w:color="auto" w:fill="FDF3E3"/>
          </w:tcPr>
          <w:p>
            <w:r/>
            <w:r>
              <w:rPr>
                <w:rFonts w:ascii="Arial" w:hAnsi="Arial"/>
                <w:b w:val="0"/>
                <w:sz w:val="19"/>
              </w:rPr>
              <w:t>15 min</w:t>
            </w:r>
          </w:p>
        </w:tc>
      </w:tr>
      <w:tr>
        <w:tc>
          <w:tcPr>
            <w:tcW w:type="dxa" w:w="1656"/>
            <w:shd w:val="clear" w:color="auto" w:fill="E8F0FE"/>
          </w:tcPr>
          <w:p>
            <w:r/>
            <w:r>
              <w:rPr>
                <w:rFonts w:ascii="Arial" w:hAnsi="Arial"/>
                <w:b w:val="0"/>
                <w:sz w:val="19"/>
              </w:rPr>
              <w:t>11:00 – 11:45</w:t>
            </w:r>
          </w:p>
        </w:tc>
        <w:tc>
          <w:tcPr>
            <w:tcW w:type="dxa" w:w="7416"/>
            <w:shd w:val="clear" w:color="auto" w:fill="E8F0FE"/>
          </w:tcPr>
          <w:p>
            <w:r/>
            <w:r>
              <w:rPr>
                <w:rFonts w:ascii="Arial" w:hAnsi="Arial"/>
                <w:b w:val="0"/>
                <w:sz w:val="19"/>
              </w:rPr>
              <w:t>LU1 T1 (cont.): The context window has no trust boundary; prompt injection as an architectural property (K2)</w:t>
            </w:r>
          </w:p>
        </w:tc>
        <w:tc>
          <w:tcPr>
            <w:tcW w:type="dxa" w:w="1224"/>
            <w:shd w:val="clear" w:color="auto" w:fill="E8F0FE"/>
          </w:tcPr>
          <w:p>
            <w:r/>
            <w:r>
              <w:rPr>
                <w:rFonts w:ascii="Arial" w:hAnsi="Arial"/>
                <w:b w:val="0"/>
                <w:sz w:val="19"/>
              </w:rPr>
              <w:t>45 min</w:t>
            </w:r>
          </w:p>
        </w:tc>
      </w:tr>
      <w:tr>
        <w:tc>
          <w:tcPr>
            <w:tcW w:type="dxa" w:w="1656"/>
            <w:shd w:val="clear" w:color="auto" w:fill="E8F0FE"/>
          </w:tcPr>
          <w:p>
            <w:r/>
            <w:r>
              <w:rPr>
                <w:rFonts w:ascii="Arial" w:hAnsi="Arial"/>
                <w:b w:val="0"/>
                <w:sz w:val="19"/>
              </w:rPr>
              <w:t>11:45 – 12:30</w:t>
            </w:r>
          </w:p>
        </w:tc>
        <w:tc>
          <w:tcPr>
            <w:tcW w:type="dxa" w:w="7416"/>
            <w:shd w:val="clear" w:color="auto" w:fill="E8F0FE"/>
          </w:tcPr>
          <w:p>
            <w:r/>
            <w:r>
              <w:rPr>
                <w:rFonts w:ascii="Arial" w:hAnsi="Arial"/>
                <w:b w:val="0"/>
                <w:sz w:val="19"/>
              </w:rPr>
              <w:t>LU1 T2: Generative vs discriminative models — the guardrail classifier pattern and its limits (K3)</w:t>
            </w:r>
          </w:p>
        </w:tc>
        <w:tc>
          <w:tcPr>
            <w:tcW w:type="dxa" w:w="1224"/>
            <w:shd w:val="clear" w:color="auto" w:fill="E8F0FE"/>
          </w:tcPr>
          <w:p>
            <w:r/>
            <w:r>
              <w:rPr>
                <w:rFonts w:ascii="Arial" w:hAnsi="Arial"/>
                <w:b w:val="0"/>
                <w:sz w:val="19"/>
              </w:rPr>
              <w:t>45 min</w:t>
            </w:r>
          </w:p>
        </w:tc>
      </w:tr>
      <w:tr>
        <w:tc>
          <w:tcPr>
            <w:tcW w:type="dxa" w:w="1656"/>
            <w:shd w:val="clear" w:color="auto" w:fill="FDF3E3"/>
          </w:tcPr>
          <w:p>
            <w:r/>
            <w:r>
              <w:rPr>
                <w:rFonts w:ascii="Arial" w:hAnsi="Arial"/>
                <w:b w:val="0"/>
                <w:sz w:val="19"/>
              </w:rPr>
              <w:t>12:30 – 1:30</w:t>
            </w:r>
          </w:p>
        </w:tc>
        <w:tc>
          <w:tcPr>
            <w:tcW w:type="dxa" w:w="7416"/>
            <w:shd w:val="clear" w:color="auto" w:fill="FDF3E3"/>
          </w:tcPr>
          <w:p>
            <w:r/>
            <w:r>
              <w:rPr>
                <w:rFonts w:ascii="Arial" w:hAnsi="Arial"/>
                <w:b w:val="0"/>
                <w:sz w:val="19"/>
              </w:rPr>
              <w:t>Lunch break</w:t>
            </w:r>
          </w:p>
        </w:tc>
        <w:tc>
          <w:tcPr>
            <w:tcW w:type="dxa" w:w="1224"/>
            <w:shd w:val="clear" w:color="auto" w:fill="FDF3E3"/>
          </w:tcPr>
          <w:p>
            <w:r/>
            <w:r>
              <w:rPr>
                <w:rFonts w:ascii="Arial" w:hAnsi="Arial"/>
                <w:b w:val="0"/>
                <w:sz w:val="19"/>
              </w:rPr>
              <w:t>60 min</w:t>
            </w:r>
          </w:p>
        </w:tc>
      </w:tr>
      <w:tr>
        <w:tc>
          <w:tcPr>
            <w:tcW w:type="dxa" w:w="1656"/>
            <w:shd w:val="clear" w:color="auto" w:fill="E8F0FE"/>
          </w:tcPr>
          <w:p>
            <w:r/>
            <w:r>
              <w:rPr>
                <w:rFonts w:ascii="Arial" w:hAnsi="Arial"/>
                <w:b w:val="0"/>
                <w:sz w:val="19"/>
              </w:rPr>
              <w:t>1:30 – 2:15</w:t>
            </w:r>
          </w:p>
        </w:tc>
        <w:tc>
          <w:tcPr>
            <w:tcW w:type="dxa" w:w="7416"/>
            <w:shd w:val="clear" w:color="auto" w:fill="E8F0FE"/>
          </w:tcPr>
          <w:p>
            <w:r/>
            <w:r>
              <w:rPr>
                <w:rFonts w:ascii="Arial" w:hAnsi="Arial"/>
                <w:b w:val="0"/>
                <w:sz w:val="19"/>
              </w:rPr>
              <w:t>LU1 T3: Application modes as attack surfaces — summarisation, inference, reasoning, transformation, augmentation (A4)</w:t>
            </w:r>
          </w:p>
        </w:tc>
        <w:tc>
          <w:tcPr>
            <w:tcW w:type="dxa" w:w="1224"/>
            <w:shd w:val="clear" w:color="auto" w:fill="E8F0FE"/>
          </w:tcPr>
          <w:p>
            <w:r/>
            <w:r>
              <w:rPr>
                <w:rFonts w:ascii="Arial" w:hAnsi="Arial"/>
                <w:b w:val="0"/>
                <w:sz w:val="19"/>
              </w:rPr>
              <w:t>45 min</w:t>
            </w:r>
          </w:p>
        </w:tc>
      </w:tr>
      <w:tr>
        <w:tc>
          <w:tcPr>
            <w:tcW w:type="dxa" w:w="1656"/>
            <w:shd w:val="clear" w:color="auto" w:fill="E6F7F1"/>
          </w:tcPr>
          <w:p>
            <w:r/>
            <w:r>
              <w:rPr>
                <w:rFonts w:ascii="Arial" w:hAnsi="Arial"/>
                <w:b w:val="0"/>
                <w:sz w:val="19"/>
              </w:rPr>
              <w:t>2:15 – 3:00</w:t>
            </w:r>
          </w:p>
        </w:tc>
        <w:tc>
          <w:tcPr>
            <w:tcW w:type="dxa" w:w="7416"/>
            <w:shd w:val="clear" w:color="auto" w:fill="E6F7F1"/>
          </w:tcPr>
          <w:p>
            <w:r/>
            <w:r>
              <w:rPr>
                <w:rFonts w:ascii="Arial" w:hAnsi="Arial"/>
                <w:b w:val="0"/>
                <w:sz w:val="19"/>
              </w:rPr>
              <w:t>Activity 1: Threat Modelling a Generative AI Concierge (K2, K3, A4)</w:t>
            </w:r>
          </w:p>
        </w:tc>
        <w:tc>
          <w:tcPr>
            <w:tcW w:type="dxa" w:w="1224"/>
            <w:shd w:val="clear" w:color="auto" w:fill="E6F7F1"/>
          </w:tcPr>
          <w:p>
            <w:r/>
            <w:r>
              <w:rPr>
                <w:rFonts w:ascii="Arial" w:hAnsi="Arial"/>
                <w:b w:val="0"/>
                <w:sz w:val="19"/>
              </w:rPr>
              <w:t>45 min</w:t>
            </w:r>
          </w:p>
        </w:tc>
      </w:tr>
      <w:tr>
        <w:tc>
          <w:tcPr>
            <w:tcW w:type="dxa" w:w="1656"/>
            <w:shd w:val="clear" w:color="auto" w:fill="E8F0FE"/>
          </w:tcPr>
          <w:p>
            <w:r/>
            <w:r>
              <w:rPr>
                <w:rFonts w:ascii="Arial" w:hAnsi="Arial"/>
                <w:b w:val="0"/>
                <w:sz w:val="19"/>
              </w:rPr>
              <w:t>3:00 – 3:45</w:t>
            </w:r>
          </w:p>
        </w:tc>
        <w:tc>
          <w:tcPr>
            <w:tcW w:type="dxa" w:w="7416"/>
            <w:shd w:val="clear" w:color="auto" w:fill="E8F0FE"/>
          </w:tcPr>
          <w:p>
            <w:r/>
            <w:r>
              <w:rPr>
                <w:rFonts w:ascii="Arial" w:hAnsi="Arial"/>
                <w:b w:val="0"/>
                <w:sz w:val="19"/>
              </w:rPr>
              <w:t>LU2 T1: Data quality, preprocessing and the model pipeline — poisoning across training, RAG, memory and artifacts (K1)</w:t>
            </w:r>
          </w:p>
        </w:tc>
        <w:tc>
          <w:tcPr>
            <w:tcW w:type="dxa" w:w="1224"/>
            <w:shd w:val="clear" w:color="auto" w:fill="E8F0FE"/>
          </w:tcPr>
          <w:p>
            <w:r/>
            <w:r>
              <w:rPr>
                <w:rFonts w:ascii="Arial" w:hAnsi="Arial"/>
                <w:b w:val="0"/>
                <w:sz w:val="19"/>
              </w:rPr>
              <w:t>45 min</w:t>
            </w:r>
          </w:p>
        </w:tc>
      </w:tr>
      <w:tr>
        <w:tc>
          <w:tcPr>
            <w:tcW w:type="dxa" w:w="1656"/>
            <w:shd w:val="clear" w:color="auto" w:fill="FDF3E3"/>
          </w:tcPr>
          <w:p>
            <w:r/>
            <w:r>
              <w:rPr>
                <w:rFonts w:ascii="Arial" w:hAnsi="Arial"/>
                <w:b w:val="0"/>
                <w:sz w:val="19"/>
              </w:rPr>
              <w:t>3:45 – 4:00</w:t>
            </w:r>
          </w:p>
        </w:tc>
        <w:tc>
          <w:tcPr>
            <w:tcW w:type="dxa" w:w="7416"/>
            <w:shd w:val="clear" w:color="auto" w:fill="FDF3E3"/>
          </w:tcPr>
          <w:p>
            <w:r/>
            <w:r>
              <w:rPr>
                <w:rFonts w:ascii="Arial" w:hAnsi="Arial"/>
                <w:b w:val="0"/>
                <w:sz w:val="19"/>
              </w:rPr>
              <w:t>Tea break</w:t>
            </w:r>
          </w:p>
        </w:tc>
        <w:tc>
          <w:tcPr>
            <w:tcW w:type="dxa" w:w="1224"/>
            <w:shd w:val="clear" w:color="auto" w:fill="FDF3E3"/>
          </w:tcPr>
          <w:p>
            <w:r/>
            <w:r>
              <w:rPr>
                <w:rFonts w:ascii="Arial" w:hAnsi="Arial"/>
                <w:b w:val="0"/>
                <w:sz w:val="19"/>
              </w:rPr>
              <w:t>15 min</w:t>
            </w:r>
          </w:p>
        </w:tc>
      </w:tr>
      <w:tr>
        <w:tc>
          <w:tcPr>
            <w:tcW w:type="dxa" w:w="1656"/>
            <w:shd w:val="clear" w:color="auto" w:fill="E8F0FE"/>
          </w:tcPr>
          <w:p>
            <w:r/>
            <w:r>
              <w:rPr>
                <w:rFonts w:ascii="Arial" w:hAnsi="Arial"/>
                <w:b w:val="0"/>
                <w:sz w:val="19"/>
              </w:rPr>
              <w:t>4:00 – 4:45</w:t>
            </w:r>
          </w:p>
        </w:tc>
        <w:tc>
          <w:tcPr>
            <w:tcW w:type="dxa" w:w="7416"/>
            <w:shd w:val="clear" w:color="auto" w:fill="E8F0FE"/>
          </w:tcPr>
          <w:p>
            <w:r/>
            <w:r>
              <w:rPr>
                <w:rFonts w:ascii="Arial" w:hAnsi="Arial"/>
                <w:b w:val="0"/>
                <w:sz w:val="19"/>
              </w:rPr>
              <w:t>LU2 T2: Prompt injection in depth — direct, indirect and cross-modal; why prompt-based defences fail (K4)</w:t>
            </w:r>
          </w:p>
        </w:tc>
        <w:tc>
          <w:tcPr>
            <w:tcW w:type="dxa" w:w="1224"/>
            <w:shd w:val="clear" w:color="auto" w:fill="E8F0FE"/>
          </w:tcPr>
          <w:p>
            <w:r/>
            <w:r>
              <w:rPr>
                <w:rFonts w:ascii="Arial" w:hAnsi="Arial"/>
                <w:b w:val="0"/>
                <w:sz w:val="19"/>
              </w:rPr>
              <w:t>45 min</w:t>
            </w:r>
          </w:p>
        </w:tc>
      </w:tr>
      <w:tr>
        <w:tc>
          <w:tcPr>
            <w:tcW w:type="dxa" w:w="1656"/>
            <w:shd w:val="clear" w:color="auto" w:fill="E6F7F1"/>
          </w:tcPr>
          <w:p>
            <w:r/>
            <w:r>
              <w:rPr>
                <w:rFonts w:ascii="Arial" w:hAnsi="Arial"/>
                <w:b w:val="0"/>
                <w:sz w:val="19"/>
              </w:rPr>
              <w:t>4:45 – 5:45</w:t>
            </w:r>
          </w:p>
        </w:tc>
        <w:tc>
          <w:tcPr>
            <w:tcW w:type="dxa" w:w="7416"/>
            <w:shd w:val="clear" w:color="auto" w:fill="E6F7F1"/>
          </w:tcPr>
          <w:p>
            <w:r/>
            <w:r>
              <w:rPr>
                <w:rFonts w:ascii="Arial" w:hAnsi="Arial"/>
                <w:b w:val="0"/>
                <w:sz w:val="19"/>
              </w:rPr>
              <w:t>Activity 2: Prompt Injection and the PDPA-Reportable Leak (K4, K1)</w:t>
            </w:r>
          </w:p>
        </w:tc>
        <w:tc>
          <w:tcPr>
            <w:tcW w:type="dxa" w:w="1224"/>
            <w:shd w:val="clear" w:color="auto" w:fill="E6F7F1"/>
          </w:tcPr>
          <w:p>
            <w:r/>
            <w:r>
              <w:rPr>
                <w:rFonts w:ascii="Arial" w:hAnsi="Arial"/>
                <w:b w:val="0"/>
                <w:sz w:val="19"/>
              </w:rPr>
              <w:t>60 min</w:t>
            </w:r>
          </w:p>
        </w:tc>
      </w:tr>
      <w:tr>
        <w:tc>
          <w:tcPr>
            <w:tcW w:type="dxa" w:w="1656"/>
            <w:shd w:val="clear" w:color="auto" w:fill="E6F7F1"/>
          </w:tcPr>
          <w:p>
            <w:r/>
            <w:r>
              <w:rPr>
                <w:rFonts w:ascii="Arial" w:hAnsi="Arial"/>
                <w:b w:val="0"/>
                <w:sz w:val="19"/>
              </w:rPr>
              <w:t>5:45 – 6:15</w:t>
            </w:r>
          </w:p>
        </w:tc>
        <w:tc>
          <w:tcPr>
            <w:tcW w:type="dxa" w:w="7416"/>
            <w:shd w:val="clear" w:color="auto" w:fill="E6F7F1"/>
          </w:tcPr>
          <w:p>
            <w:r/>
            <w:r>
              <w:rPr>
                <w:rFonts w:ascii="Arial" w:hAnsi="Arial"/>
                <w:b w:val="0"/>
                <w:sz w:val="19"/>
              </w:rPr>
              <w:t>Activity 2 debrief — notification decision and prioritised controls</w:t>
            </w:r>
          </w:p>
        </w:tc>
        <w:tc>
          <w:tcPr>
            <w:tcW w:type="dxa" w:w="1224"/>
            <w:shd w:val="clear" w:color="auto" w:fill="E6F7F1"/>
          </w:tcPr>
          <w:p>
            <w:r/>
            <w:r>
              <w:rPr>
                <w:rFonts w:ascii="Arial" w:hAnsi="Arial"/>
                <w:b w:val="0"/>
                <w:sz w:val="19"/>
              </w:rPr>
              <w:t>30 min</w:t>
            </w:r>
          </w:p>
        </w:tc>
      </w:tr>
      <w:tr>
        <w:tc>
          <w:tcPr>
            <w:tcW w:type="dxa" w:w="1656"/>
            <w:shd w:val="clear" w:color="auto" w:fill="F2F4F7"/>
          </w:tcPr>
          <w:p>
            <w:r/>
            <w:r>
              <w:rPr>
                <w:rFonts w:ascii="Arial" w:hAnsi="Arial"/>
                <w:b w:val="0"/>
                <w:sz w:val="19"/>
              </w:rPr>
              <w:t>6:15 – 6:30</w:t>
            </w:r>
          </w:p>
        </w:tc>
        <w:tc>
          <w:tcPr>
            <w:tcW w:type="dxa" w:w="7416"/>
            <w:shd w:val="clear" w:color="auto" w:fill="F2F4F7"/>
          </w:tcPr>
          <w:p>
            <w:r/>
            <w:r>
              <w:rPr>
                <w:rFonts w:ascii="Arial" w:hAnsi="Arial"/>
                <w:b w:val="0"/>
                <w:sz w:val="19"/>
              </w:rPr>
              <w:t>Day 1 recap, Q&amp;A and PM digital attendance</w:t>
            </w:r>
          </w:p>
        </w:tc>
        <w:tc>
          <w:tcPr>
            <w:tcW w:type="dxa" w:w="1224"/>
            <w:shd w:val="clear" w:color="auto" w:fill="F2F4F7"/>
          </w:tcPr>
          <w:p>
            <w:r/>
            <w:r>
              <w:rPr>
                <w:rFonts w:ascii="Arial" w:hAnsi="Arial"/>
                <w:b w:val="0"/>
                <w:sz w:val="19"/>
              </w:rPr>
              <w:t>15 min</w:t>
            </w:r>
          </w:p>
        </w:tc>
      </w:tr>
    </w:tbl>
    <w:p>
      <w:pPr>
        <w:spacing w:after="120"/>
      </w:pPr>
      <w:r>
        <w:rPr>
          <w:rFonts w:ascii="Arial" w:hAnsi="Arial"/>
          <w:b w:val="0"/>
          <w:color w:val="111827"/>
          <w:sz w:val="22"/>
        </w:rPr>
      </w:r>
    </w:p>
    <w:p>
      <w:pPr>
        <w:spacing w:after="120"/>
      </w:pPr>
      <w:r>
        <w:rPr>
          <w:rFonts w:ascii="Arial" w:hAnsi="Arial"/>
          <w:b/>
          <w:color w:val="111827"/>
          <w:sz w:val="20"/>
        </w:rPr>
        <w:t>Day 1 instructional total: 480 minutes (8 hours), excluding the 1-hour lunch break.</w:t>
      </w:r>
    </w:p>
    <w:p>
      <w:pPr>
        <w:pStyle w:val="Heading2"/>
      </w:pPr>
      <w:r>
        <w:t>Day 2 — Autonomous Agent Security</w:t>
      </w:r>
    </w:p>
    <w:p>
      <w:pPr>
        <w:spacing w:after="120"/>
      </w:pPr>
      <w:r>
        <w:rPr>
          <w:rFonts w:ascii="Arial" w:hAnsi="Arial"/>
          <w:b w:val="0"/>
          <w:color w:val="555B66"/>
          <w:sz w:val="19"/>
        </w:rPr>
        <w:t>Slides 31–64 of the trainer deck.</w:t>
      </w:r>
    </w:p>
    <w:tbl>
      <w:tblPr>
        <w:tblStyle w:val="TableGrid"/>
        <w:tblW w:type="auto" w:w="0"/>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7416"/>
            <w:shd w:val="clear" w:color="auto" w:fill="1F6FEB"/>
          </w:tcPr>
          <w:p>
            <w:r/>
            <w:r>
              <w:rPr>
                <w:rFonts w:ascii="Arial" w:hAnsi="Arial"/>
                <w:b/>
                <w:color w:val="FFFFFF"/>
                <w:sz w:val="20"/>
              </w:rPr>
              <w:t>Topic / Activity</w:t>
            </w:r>
          </w:p>
        </w:tc>
        <w:tc>
          <w:tcPr>
            <w:tcW w:type="dxa" w:w="1224"/>
            <w:shd w:val="clear" w:color="auto" w:fill="1F6FEB"/>
          </w:tcPr>
          <w:p>
            <w:r/>
            <w:r>
              <w:rPr>
                <w:rFonts w:ascii="Arial" w:hAnsi="Arial"/>
                <w:b/>
                <w:color w:val="FFFFFF"/>
                <w:sz w:val="20"/>
              </w:rPr>
              <w:t>Duration</w:t>
            </w:r>
          </w:p>
        </w:tc>
      </w:tr>
      <w:tr>
        <w:tc>
          <w:tcPr>
            <w:tcW w:type="dxa" w:w="1656"/>
            <w:shd w:val="clear" w:color="auto" w:fill="F2F4F7"/>
          </w:tcPr>
          <w:p>
            <w:r/>
            <w:r>
              <w:rPr>
                <w:rFonts w:ascii="Arial" w:hAnsi="Arial"/>
                <w:b w:val="0"/>
                <w:sz w:val="19"/>
              </w:rPr>
              <w:t>9:30 – 9:40</w:t>
            </w:r>
          </w:p>
        </w:tc>
        <w:tc>
          <w:tcPr>
            <w:tcW w:type="dxa" w:w="7416"/>
            <w:shd w:val="clear" w:color="auto" w:fill="F2F4F7"/>
          </w:tcPr>
          <w:p>
            <w:r/>
            <w:r>
              <w:rPr>
                <w:rFonts w:ascii="Arial" w:hAnsi="Arial"/>
                <w:b w:val="0"/>
                <w:sz w:val="19"/>
              </w:rPr>
              <w:t>Day 1 recap and AM digital attendance</w:t>
            </w:r>
          </w:p>
        </w:tc>
        <w:tc>
          <w:tcPr>
            <w:tcW w:type="dxa" w:w="1224"/>
            <w:shd w:val="clear" w:color="auto" w:fill="F2F4F7"/>
          </w:tcPr>
          <w:p>
            <w:r/>
            <w:r>
              <w:rPr>
                <w:rFonts w:ascii="Arial" w:hAnsi="Arial"/>
                <w:b w:val="0"/>
                <w:sz w:val="19"/>
              </w:rPr>
              <w:t>10 min</w:t>
            </w:r>
          </w:p>
        </w:tc>
      </w:tr>
      <w:tr>
        <w:tc>
          <w:tcPr>
            <w:tcW w:type="dxa" w:w="1656"/>
            <w:shd w:val="clear" w:color="auto" w:fill="E8F0FE"/>
          </w:tcPr>
          <w:p>
            <w:r/>
            <w:r>
              <w:rPr>
                <w:rFonts w:ascii="Arial" w:hAnsi="Arial"/>
                <w:b w:val="0"/>
                <w:sz w:val="19"/>
              </w:rPr>
              <w:t>9:40 – 10:25</w:t>
            </w:r>
          </w:p>
        </w:tc>
        <w:tc>
          <w:tcPr>
            <w:tcW w:type="dxa" w:w="7416"/>
            <w:shd w:val="clear" w:color="auto" w:fill="E8F0FE"/>
          </w:tcPr>
          <w:p>
            <w:r/>
            <w:r>
              <w:rPr>
                <w:rFonts w:ascii="Arial" w:hAnsi="Arial"/>
                <w:b w:val="0"/>
                <w:sz w:val="19"/>
              </w:rPr>
              <w:t>LU2 T3: Security frameworks for generative AI and agents — OWASP LLM Top 10 2026, OWASP ASI Top 10 2026, NIST AI RMF, MITRE ATLAS, IMDA and the PDPA (A3)</w:t>
            </w:r>
          </w:p>
        </w:tc>
        <w:tc>
          <w:tcPr>
            <w:tcW w:type="dxa" w:w="1224"/>
            <w:shd w:val="clear" w:color="auto" w:fill="E8F0FE"/>
          </w:tcPr>
          <w:p>
            <w:r/>
            <w:r>
              <w:rPr>
                <w:rFonts w:ascii="Arial" w:hAnsi="Arial"/>
                <w:b w:val="0"/>
                <w:sz w:val="19"/>
              </w:rPr>
              <w:t>45 min</w:t>
            </w:r>
          </w:p>
        </w:tc>
      </w:tr>
      <w:tr>
        <w:tc>
          <w:tcPr>
            <w:tcW w:type="dxa" w:w="1656"/>
            <w:shd w:val="clear" w:color="auto" w:fill="E8F0FE"/>
          </w:tcPr>
          <w:p>
            <w:r/>
            <w:r>
              <w:rPr>
                <w:rFonts w:ascii="Arial" w:hAnsi="Arial"/>
                <w:b w:val="0"/>
                <w:sz w:val="19"/>
              </w:rPr>
              <w:t>10:25 – 11:00</w:t>
            </w:r>
          </w:p>
        </w:tc>
        <w:tc>
          <w:tcPr>
            <w:tcW w:type="dxa" w:w="7416"/>
            <w:shd w:val="clear" w:color="auto" w:fill="E8F0FE"/>
          </w:tcPr>
          <w:p>
            <w:r/>
            <w:r>
              <w:rPr>
                <w:rFonts w:ascii="Arial" w:hAnsi="Arial"/>
                <w:b w:val="0"/>
                <w:sz w:val="19"/>
              </w:rPr>
              <w:t>LU2 T4: Measuring whether a guardrail works — attack success rate, refusal rate, false-positive rate across prompt variants (A5)</w:t>
            </w:r>
          </w:p>
        </w:tc>
        <w:tc>
          <w:tcPr>
            <w:tcW w:type="dxa" w:w="1224"/>
            <w:shd w:val="clear" w:color="auto" w:fill="E8F0FE"/>
          </w:tcPr>
          <w:p>
            <w:r/>
            <w:r>
              <w:rPr>
                <w:rFonts w:ascii="Arial" w:hAnsi="Arial"/>
                <w:b w:val="0"/>
                <w:sz w:val="19"/>
              </w:rPr>
              <w:t>35 min</w:t>
            </w:r>
          </w:p>
        </w:tc>
      </w:tr>
      <w:tr>
        <w:tc>
          <w:tcPr>
            <w:tcW w:type="dxa" w:w="1656"/>
            <w:shd w:val="clear" w:color="auto" w:fill="FDF3E3"/>
          </w:tcPr>
          <w:p>
            <w:r/>
            <w:r>
              <w:rPr>
                <w:rFonts w:ascii="Arial" w:hAnsi="Arial"/>
                <w:b w:val="0"/>
                <w:sz w:val="19"/>
              </w:rPr>
              <w:t>11:00 – 11:15</w:t>
            </w:r>
          </w:p>
        </w:tc>
        <w:tc>
          <w:tcPr>
            <w:tcW w:type="dxa" w:w="7416"/>
            <w:shd w:val="clear" w:color="auto" w:fill="FDF3E3"/>
          </w:tcPr>
          <w:p>
            <w:r/>
            <w:r>
              <w:rPr>
                <w:rFonts w:ascii="Arial" w:hAnsi="Arial"/>
                <w:b w:val="0"/>
                <w:sz w:val="19"/>
              </w:rPr>
              <w:t>Tea break</w:t>
            </w:r>
          </w:p>
        </w:tc>
        <w:tc>
          <w:tcPr>
            <w:tcW w:type="dxa" w:w="1224"/>
            <w:shd w:val="clear" w:color="auto" w:fill="FDF3E3"/>
          </w:tcPr>
          <w:p>
            <w:r/>
            <w:r>
              <w:rPr>
                <w:rFonts w:ascii="Arial" w:hAnsi="Arial"/>
                <w:b w:val="0"/>
                <w:sz w:val="19"/>
              </w:rPr>
              <w:t>15 min</w:t>
            </w:r>
          </w:p>
        </w:tc>
      </w:tr>
      <w:tr>
        <w:tc>
          <w:tcPr>
            <w:tcW w:type="dxa" w:w="1656"/>
            <w:shd w:val="clear" w:color="auto" w:fill="E6F7F1"/>
          </w:tcPr>
          <w:p>
            <w:r/>
            <w:r>
              <w:rPr>
                <w:rFonts w:ascii="Arial" w:hAnsi="Arial"/>
                <w:b w:val="0"/>
                <w:sz w:val="19"/>
              </w:rPr>
              <w:t>11:15 – 12:15</w:t>
            </w:r>
          </w:p>
        </w:tc>
        <w:tc>
          <w:tcPr>
            <w:tcW w:type="dxa" w:w="7416"/>
            <w:shd w:val="clear" w:color="auto" w:fill="E6F7F1"/>
          </w:tcPr>
          <w:p>
            <w:r/>
            <w:r>
              <w:rPr>
                <w:rFonts w:ascii="Arial" w:hAnsi="Arial"/>
                <w:b w:val="0"/>
                <w:sz w:val="19"/>
              </w:rPr>
              <w:t>Activity 3: Selecting a Security Framework for GenAI and Agents (A3, A5)</w:t>
            </w:r>
          </w:p>
        </w:tc>
        <w:tc>
          <w:tcPr>
            <w:tcW w:type="dxa" w:w="1224"/>
            <w:shd w:val="clear" w:color="auto" w:fill="E6F7F1"/>
          </w:tcPr>
          <w:p>
            <w:r/>
            <w:r>
              <w:rPr>
                <w:rFonts w:ascii="Arial" w:hAnsi="Arial"/>
                <w:b w:val="0"/>
                <w:sz w:val="19"/>
              </w:rPr>
              <w:t>60 min</w:t>
            </w:r>
          </w:p>
        </w:tc>
      </w:tr>
      <w:tr>
        <w:tc>
          <w:tcPr>
            <w:tcW w:type="dxa" w:w="1656"/>
            <w:shd w:val="clear" w:color="auto" w:fill="E8F0FE"/>
          </w:tcPr>
          <w:p>
            <w:r/>
            <w:r>
              <w:rPr>
                <w:rFonts w:ascii="Arial" w:hAnsi="Arial"/>
                <w:b w:val="0"/>
                <w:sz w:val="19"/>
              </w:rPr>
              <w:t>12:15 – 12:45</w:t>
            </w:r>
          </w:p>
        </w:tc>
        <w:tc>
          <w:tcPr>
            <w:tcW w:type="dxa" w:w="7416"/>
            <w:shd w:val="clear" w:color="auto" w:fill="E8F0FE"/>
          </w:tcPr>
          <w:p>
            <w:r/>
            <w:r>
              <w:rPr>
                <w:rFonts w:ascii="Arial" w:hAnsi="Arial"/>
                <w:b w:val="0"/>
                <w:sz w:val="19"/>
              </w:rPr>
              <w:t>LU3 T1: Agent anatomy — model, loop, tools, memory, identity. Excessive agency, uncontrolled and destructive execution (K5)</w:t>
            </w:r>
          </w:p>
        </w:tc>
        <w:tc>
          <w:tcPr>
            <w:tcW w:type="dxa" w:w="1224"/>
            <w:shd w:val="clear" w:color="auto" w:fill="E8F0FE"/>
          </w:tcPr>
          <w:p>
            <w:r/>
            <w:r>
              <w:rPr>
                <w:rFonts w:ascii="Arial" w:hAnsi="Arial"/>
                <w:b w:val="0"/>
                <w:sz w:val="19"/>
              </w:rPr>
              <w:t>30 min</w:t>
            </w:r>
          </w:p>
        </w:tc>
      </w:tr>
      <w:tr>
        <w:tc>
          <w:tcPr>
            <w:tcW w:type="dxa" w:w="1656"/>
            <w:shd w:val="clear" w:color="auto" w:fill="FDF3E3"/>
          </w:tcPr>
          <w:p>
            <w:r/>
            <w:r>
              <w:rPr>
                <w:rFonts w:ascii="Arial" w:hAnsi="Arial"/>
                <w:b w:val="0"/>
                <w:sz w:val="19"/>
              </w:rPr>
              <w:t>12:45 – 1:45</w:t>
            </w:r>
          </w:p>
        </w:tc>
        <w:tc>
          <w:tcPr>
            <w:tcW w:type="dxa" w:w="7416"/>
            <w:shd w:val="clear" w:color="auto" w:fill="FDF3E3"/>
          </w:tcPr>
          <w:p>
            <w:r/>
            <w:r>
              <w:rPr>
                <w:rFonts w:ascii="Arial" w:hAnsi="Arial"/>
                <w:b w:val="0"/>
                <w:sz w:val="19"/>
              </w:rPr>
              <w:t>Lunch break</w:t>
            </w:r>
          </w:p>
        </w:tc>
        <w:tc>
          <w:tcPr>
            <w:tcW w:type="dxa" w:w="1224"/>
            <w:shd w:val="clear" w:color="auto" w:fill="FDF3E3"/>
          </w:tcPr>
          <w:p>
            <w:r/>
            <w:r>
              <w:rPr>
                <w:rFonts w:ascii="Arial" w:hAnsi="Arial"/>
                <w:b w:val="0"/>
                <w:sz w:val="19"/>
              </w:rPr>
              <w:t>60 min</w:t>
            </w:r>
          </w:p>
        </w:tc>
      </w:tr>
      <w:tr>
        <w:tc>
          <w:tcPr>
            <w:tcW w:type="dxa" w:w="1656"/>
            <w:shd w:val="clear" w:color="auto" w:fill="E8F0FE"/>
          </w:tcPr>
          <w:p>
            <w:r/>
            <w:r>
              <w:rPr>
                <w:rFonts w:ascii="Arial" w:hAnsi="Arial"/>
                <w:b w:val="0"/>
                <w:sz w:val="19"/>
              </w:rPr>
              <w:t>1:45 – 2:00</w:t>
            </w:r>
          </w:p>
        </w:tc>
        <w:tc>
          <w:tcPr>
            <w:tcW w:type="dxa" w:w="7416"/>
            <w:shd w:val="clear" w:color="auto" w:fill="E8F0FE"/>
          </w:tcPr>
          <w:p>
            <w:r/>
            <w:r>
              <w:rPr>
                <w:rFonts w:ascii="Arial" w:hAnsi="Arial"/>
                <w:b w:val="0"/>
                <w:sz w:val="19"/>
              </w:rPr>
              <w:t>LU3 T1 (cont.): Defence in depth and the four-layer control stack (K5)</w:t>
            </w:r>
          </w:p>
        </w:tc>
        <w:tc>
          <w:tcPr>
            <w:tcW w:type="dxa" w:w="1224"/>
            <w:shd w:val="clear" w:color="auto" w:fill="E8F0FE"/>
          </w:tcPr>
          <w:p>
            <w:r/>
            <w:r>
              <w:rPr>
                <w:rFonts w:ascii="Arial" w:hAnsi="Arial"/>
                <w:b w:val="0"/>
                <w:sz w:val="19"/>
              </w:rPr>
              <w:t>15 min</w:t>
            </w:r>
          </w:p>
        </w:tc>
      </w:tr>
      <w:tr>
        <w:tc>
          <w:tcPr>
            <w:tcW w:type="dxa" w:w="1656"/>
            <w:shd w:val="clear" w:color="auto" w:fill="E6F7F1"/>
          </w:tcPr>
          <w:p>
            <w:r/>
            <w:r>
              <w:rPr>
                <w:rFonts w:ascii="Arial" w:hAnsi="Arial"/>
                <w:b w:val="0"/>
                <w:sz w:val="19"/>
              </w:rPr>
              <w:t>2:00 – 3:00</w:t>
            </w:r>
          </w:p>
        </w:tc>
        <w:tc>
          <w:tcPr>
            <w:tcW w:type="dxa" w:w="7416"/>
            <w:shd w:val="clear" w:color="auto" w:fill="E6F7F1"/>
          </w:tcPr>
          <w:p>
            <w:r/>
            <w:r>
              <w:rPr>
                <w:rFonts w:ascii="Arial" w:hAnsi="Arial"/>
                <w:b w:val="0"/>
                <w:sz w:val="19"/>
              </w:rPr>
              <w:t>Activity 4: Rogue Agent Post-Incident Review — the real 2026 incidents (K5)</w:t>
            </w:r>
          </w:p>
        </w:tc>
        <w:tc>
          <w:tcPr>
            <w:tcW w:type="dxa" w:w="1224"/>
            <w:shd w:val="clear" w:color="auto" w:fill="E6F7F1"/>
          </w:tcPr>
          <w:p>
            <w:r/>
            <w:r>
              <w:rPr>
                <w:rFonts w:ascii="Arial" w:hAnsi="Arial"/>
                <w:b w:val="0"/>
                <w:sz w:val="19"/>
              </w:rPr>
              <w:t>60 min</w:t>
            </w:r>
          </w:p>
        </w:tc>
      </w:tr>
      <w:tr>
        <w:tc>
          <w:tcPr>
            <w:tcW w:type="dxa" w:w="1656"/>
            <w:shd w:val="clear" w:color="auto" w:fill="E8F0FE"/>
          </w:tcPr>
          <w:p>
            <w:r/>
            <w:r>
              <w:rPr>
                <w:rFonts w:ascii="Arial" w:hAnsi="Arial"/>
                <w:b w:val="0"/>
                <w:sz w:val="19"/>
              </w:rPr>
              <w:t>3:00 – 3:30</w:t>
            </w:r>
          </w:p>
        </w:tc>
        <w:tc>
          <w:tcPr>
            <w:tcW w:type="dxa" w:w="7416"/>
            <w:shd w:val="clear" w:color="auto" w:fill="E8F0FE"/>
          </w:tcPr>
          <w:p>
            <w:r/>
            <w:r>
              <w:rPr>
                <w:rFonts w:ascii="Arial" w:hAnsi="Arial"/>
                <w:b w:val="0"/>
                <w:sz w:val="19"/>
              </w:rPr>
              <w:t>LU3 T2: Ethical implications and societal impact — PDPA, PDPC GenAI guidelines and the IMDA Model AI Governance Framework for Agentic AI (A2)</w:t>
            </w:r>
          </w:p>
        </w:tc>
        <w:tc>
          <w:tcPr>
            <w:tcW w:type="dxa" w:w="1224"/>
            <w:shd w:val="clear" w:color="auto" w:fill="E8F0FE"/>
          </w:tcPr>
          <w:p>
            <w:r/>
            <w:r>
              <w:rPr>
                <w:rFonts w:ascii="Arial" w:hAnsi="Arial"/>
                <w:b w:val="0"/>
                <w:sz w:val="19"/>
              </w:rPr>
              <w:t>30 min</w:t>
            </w:r>
          </w:p>
        </w:tc>
      </w:tr>
      <w:tr>
        <w:tc>
          <w:tcPr>
            <w:tcW w:type="dxa" w:w="1656"/>
            <w:shd w:val="clear" w:color="auto" w:fill="FDF3E3"/>
          </w:tcPr>
          <w:p>
            <w:r/>
            <w:r>
              <w:rPr>
                <w:rFonts w:ascii="Arial" w:hAnsi="Arial"/>
                <w:b w:val="0"/>
                <w:sz w:val="19"/>
              </w:rPr>
              <w:t>3:30 – 3:45</w:t>
            </w:r>
          </w:p>
        </w:tc>
        <w:tc>
          <w:tcPr>
            <w:tcW w:type="dxa" w:w="7416"/>
            <w:shd w:val="clear" w:color="auto" w:fill="FDF3E3"/>
          </w:tcPr>
          <w:p>
            <w:r/>
            <w:r>
              <w:rPr>
                <w:rFonts w:ascii="Arial" w:hAnsi="Arial"/>
                <w:b w:val="0"/>
                <w:sz w:val="19"/>
              </w:rPr>
              <w:t>Tea break</w:t>
            </w:r>
          </w:p>
        </w:tc>
        <w:tc>
          <w:tcPr>
            <w:tcW w:type="dxa" w:w="1224"/>
            <w:shd w:val="clear" w:color="auto" w:fill="FDF3E3"/>
          </w:tcPr>
          <w:p>
            <w:r/>
            <w:r>
              <w:rPr>
                <w:rFonts w:ascii="Arial" w:hAnsi="Arial"/>
                <w:b w:val="0"/>
                <w:sz w:val="19"/>
              </w:rPr>
              <w:t>15 min</w:t>
            </w:r>
          </w:p>
        </w:tc>
      </w:tr>
      <w:tr>
        <w:tc>
          <w:tcPr>
            <w:tcW w:type="dxa" w:w="1656"/>
            <w:shd w:val="clear" w:color="auto" w:fill="E8F0FE"/>
          </w:tcPr>
          <w:p>
            <w:r/>
            <w:r>
              <w:rPr>
                <w:rFonts w:ascii="Arial" w:hAnsi="Arial"/>
                <w:b w:val="0"/>
                <w:sz w:val="19"/>
              </w:rPr>
              <w:t>3:45 – 4:05</w:t>
            </w:r>
          </w:p>
        </w:tc>
        <w:tc>
          <w:tcPr>
            <w:tcW w:type="dxa" w:w="7416"/>
            <w:shd w:val="clear" w:color="auto" w:fill="E8F0FE"/>
          </w:tcPr>
          <w:p>
            <w:r/>
            <w:r>
              <w:rPr>
                <w:rFonts w:ascii="Arial" w:hAnsi="Arial"/>
                <w:b w:val="0"/>
                <w:sz w:val="19"/>
              </w:rPr>
              <w:t>LU3 T3: Limitations and bias — misinformation as a security risk, aggregate accuracy and disparate impact (A1)</w:t>
            </w:r>
          </w:p>
        </w:tc>
        <w:tc>
          <w:tcPr>
            <w:tcW w:type="dxa" w:w="1224"/>
            <w:shd w:val="clear" w:color="auto" w:fill="E8F0FE"/>
          </w:tcPr>
          <w:p>
            <w:r/>
            <w:r>
              <w:rPr>
                <w:rFonts w:ascii="Arial" w:hAnsi="Arial"/>
                <w:b w:val="0"/>
                <w:sz w:val="19"/>
              </w:rPr>
              <w:t>20 min</w:t>
            </w:r>
          </w:p>
        </w:tc>
      </w:tr>
      <w:tr>
        <w:tc>
          <w:tcPr>
            <w:tcW w:type="dxa" w:w="1656"/>
            <w:shd w:val="clear" w:color="auto" w:fill="E6F7F1"/>
          </w:tcPr>
          <w:p>
            <w:r/>
            <w:r>
              <w:rPr>
                <w:rFonts w:ascii="Arial" w:hAnsi="Arial"/>
                <w:b w:val="0"/>
                <w:sz w:val="19"/>
              </w:rPr>
              <w:t>4:05 – 4:30</w:t>
            </w:r>
          </w:p>
        </w:tc>
        <w:tc>
          <w:tcPr>
            <w:tcW w:type="dxa" w:w="7416"/>
            <w:shd w:val="clear" w:color="auto" w:fill="E6F7F1"/>
          </w:tcPr>
          <w:p>
            <w:r/>
            <w:r>
              <w:rPr>
                <w:rFonts w:ascii="Arial" w:hAnsi="Arial"/>
                <w:b w:val="0"/>
                <w:sz w:val="19"/>
              </w:rPr>
              <w:t>Activity 5: Agent Governance and the Deployment Gate — capstone (A1, A2)</w:t>
            </w:r>
          </w:p>
        </w:tc>
        <w:tc>
          <w:tcPr>
            <w:tcW w:type="dxa" w:w="1224"/>
            <w:shd w:val="clear" w:color="auto" w:fill="E6F7F1"/>
          </w:tcPr>
          <w:p>
            <w:r/>
            <w:r>
              <w:rPr>
                <w:rFonts w:ascii="Arial" w:hAnsi="Arial"/>
                <w:b w:val="0"/>
                <w:sz w:val="19"/>
              </w:rPr>
              <w:t>25 min</w:t>
            </w:r>
          </w:p>
        </w:tc>
      </w:tr>
      <w:tr>
        <w:tc>
          <w:tcPr>
            <w:tcW w:type="dxa" w:w="1656"/>
            <w:shd w:val="clear" w:color="auto" w:fill="F2F4F7"/>
          </w:tcPr>
          <w:p>
            <w:r/>
            <w:r>
              <w:rPr>
                <w:rFonts w:ascii="Arial" w:hAnsi="Arial"/>
                <w:b w:val="0"/>
                <w:sz w:val="19"/>
              </w:rPr>
              <w:t>4:30 – 4:40</w:t>
            </w:r>
          </w:p>
        </w:tc>
        <w:tc>
          <w:tcPr>
            <w:tcW w:type="dxa" w:w="7416"/>
            <w:shd w:val="clear" w:color="auto" w:fill="F2F4F7"/>
          </w:tcPr>
          <w:p>
            <w:r/>
            <w:r>
              <w:rPr>
                <w:rFonts w:ascii="Arial" w:hAnsi="Arial"/>
                <w:b w:val="0"/>
                <w:sz w:val="19"/>
              </w:rPr>
              <w:t>Course synthesis, Q&amp;A and briefing for assessment</w:t>
            </w:r>
          </w:p>
        </w:tc>
        <w:tc>
          <w:tcPr>
            <w:tcW w:type="dxa" w:w="1224"/>
            <w:shd w:val="clear" w:color="auto" w:fill="F2F4F7"/>
          </w:tcPr>
          <w:p>
            <w:r/>
            <w:r>
              <w:rPr>
                <w:rFonts w:ascii="Arial" w:hAnsi="Arial"/>
                <w:b w:val="0"/>
                <w:sz w:val="19"/>
              </w:rPr>
              <w:t>10 min</w:t>
            </w:r>
          </w:p>
        </w:tc>
      </w:tr>
      <w:tr>
        <w:tc>
          <w:tcPr>
            <w:tcW w:type="dxa" w:w="1656"/>
            <w:shd w:val="clear" w:color="auto" w:fill="FDECEC"/>
          </w:tcPr>
          <w:p>
            <w:r/>
            <w:r>
              <w:rPr>
                <w:rFonts w:ascii="Arial" w:hAnsi="Arial"/>
                <w:b w:val="0"/>
                <w:sz w:val="19"/>
              </w:rPr>
              <w:t>4:40 – 5:40</w:t>
            </w:r>
          </w:p>
        </w:tc>
        <w:tc>
          <w:tcPr>
            <w:tcW w:type="dxa" w:w="7416"/>
            <w:shd w:val="clear" w:color="auto" w:fill="FDECEC"/>
          </w:tcPr>
          <w:p>
            <w:r/>
            <w:r>
              <w:rPr>
                <w:rFonts w:ascii="Arial" w:hAnsi="Arial"/>
                <w:b w:val="0"/>
                <w:sz w:val="19"/>
              </w:rPr>
              <w:t>Assessment 1: Written Assessment (SAQ) — 5 questions · 40 marks · 60 min</w:t>
            </w:r>
          </w:p>
        </w:tc>
        <w:tc>
          <w:tcPr>
            <w:tcW w:type="dxa" w:w="1224"/>
            <w:shd w:val="clear" w:color="auto" w:fill="FDECEC"/>
          </w:tcPr>
          <w:p>
            <w:r/>
            <w:r>
              <w:rPr>
                <w:rFonts w:ascii="Arial" w:hAnsi="Arial"/>
                <w:b w:val="0"/>
                <w:sz w:val="19"/>
              </w:rPr>
              <w:t>60 min</w:t>
            </w:r>
          </w:p>
        </w:tc>
      </w:tr>
      <w:tr>
        <w:tc>
          <w:tcPr>
            <w:tcW w:type="dxa" w:w="1656"/>
            <w:shd w:val="clear" w:color="auto" w:fill="FDECEC"/>
          </w:tcPr>
          <w:p>
            <w:r/>
            <w:r>
              <w:rPr>
                <w:rFonts w:ascii="Arial" w:hAnsi="Arial"/>
                <w:b w:val="0"/>
                <w:sz w:val="19"/>
              </w:rPr>
              <w:t>5:40 – 6:20</w:t>
            </w:r>
          </w:p>
        </w:tc>
        <w:tc>
          <w:tcPr>
            <w:tcW w:type="dxa" w:w="7416"/>
            <w:shd w:val="clear" w:color="auto" w:fill="FDECEC"/>
          </w:tcPr>
          <w:p>
            <w:r/>
            <w:r>
              <w:rPr>
                <w:rFonts w:ascii="Arial" w:hAnsi="Arial"/>
                <w:b w:val="0"/>
                <w:sz w:val="19"/>
              </w:rPr>
              <w:t>Assessment 2: Case Study — 3 questions · 70 marks · 40 min</w:t>
            </w:r>
          </w:p>
        </w:tc>
        <w:tc>
          <w:tcPr>
            <w:tcW w:type="dxa" w:w="1224"/>
            <w:shd w:val="clear" w:color="auto" w:fill="FDECEC"/>
          </w:tcPr>
          <w:p>
            <w:r/>
            <w:r>
              <w:rPr>
                <w:rFonts w:ascii="Arial" w:hAnsi="Arial"/>
                <w:b w:val="0"/>
                <w:sz w:val="19"/>
              </w:rPr>
              <w:t>40 min</w:t>
            </w:r>
          </w:p>
        </w:tc>
      </w:tr>
      <w:tr>
        <w:tc>
          <w:tcPr>
            <w:tcW w:type="dxa" w:w="1656"/>
            <w:shd w:val="clear" w:color="auto" w:fill="FDECEC"/>
          </w:tcPr>
          <w:p>
            <w:r/>
            <w:r>
              <w:rPr>
                <w:rFonts w:ascii="Arial" w:hAnsi="Arial"/>
                <w:b w:val="0"/>
                <w:sz w:val="19"/>
              </w:rPr>
              <w:t>6:20 – 6:30</w:t>
            </w:r>
          </w:p>
        </w:tc>
        <w:tc>
          <w:tcPr>
            <w:tcW w:type="dxa" w:w="7416"/>
            <w:shd w:val="clear" w:color="auto" w:fill="FDECEC"/>
          </w:tcPr>
          <w:p>
            <w:r/>
            <w:r>
              <w:rPr>
                <w:rFonts w:ascii="Arial" w:hAnsi="Arial"/>
                <w:b w:val="0"/>
                <w:sz w:val="19"/>
              </w:rPr>
              <w:t>Assessment digital attendance · TRAQOM survey · course close</w:t>
            </w:r>
          </w:p>
        </w:tc>
        <w:tc>
          <w:tcPr>
            <w:tcW w:type="dxa" w:w="1224"/>
            <w:shd w:val="clear" w:color="auto" w:fill="FDECEC"/>
          </w:tcPr>
          <w:p>
            <w:r/>
            <w:r>
              <w:rPr>
                <w:rFonts w:ascii="Arial" w:hAnsi="Arial"/>
                <w:b w:val="0"/>
                <w:sz w:val="19"/>
              </w:rPr>
              <w:t>10 min</w:t>
            </w:r>
          </w:p>
        </w:tc>
      </w:tr>
    </w:tbl>
    <w:p>
      <w:pPr>
        <w:spacing w:after="120"/>
      </w:pPr>
      <w:r>
        <w:rPr>
          <w:rFonts w:ascii="Arial" w:hAnsi="Arial"/>
          <w:b w:val="0"/>
          <w:color w:val="111827"/>
          <w:sz w:val="22"/>
        </w:rPr>
      </w:r>
    </w:p>
    <w:p>
      <w:pPr>
        <w:spacing w:after="120"/>
      </w:pPr>
      <w:r>
        <w:rPr>
          <w:rFonts w:ascii="Arial" w:hAnsi="Arial"/>
          <w:b/>
          <w:color w:val="111827"/>
          <w:sz w:val="20"/>
        </w:rPr>
        <w:t>Day 2 instructional total: 480 minutes (8 hours), excluding the 1-hour lunch break.</w:t>
      </w:r>
    </w:p>
    <w:p>
      <w:r>
        <w:br w:type="page"/>
      </w:r>
    </w:p>
    <w:p>
      <w:pPr>
        <w:pStyle w:val="Heading1"/>
      </w:pPr>
      <w:r>
        <w:t>3. Activities</w:t>
      </w:r>
    </w:p>
    <w:p>
      <w:pPr>
        <w:spacing w:after="120"/>
      </w:pPr>
      <w:r>
        <w:rPr>
          <w:rFonts w:ascii="Arial" w:hAnsi="Arial"/>
          <w:b w:val="0"/>
          <w:color w:val="111827"/>
          <w:sz w:val="22"/>
        </w:rPr>
        <w:t>Every activity is a real-world case study. Each has its own folder under activities/ containing the scenario, the discussion questions, the trainer debrief and a printable PDF. Full step-by-step facilitation detail is in the Learner Guide.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shd w:val="clear" w:color="auto" w:fill="1F6FEB"/>
          </w:tcPr>
          <w:p>
            <w:r/>
            <w:r>
              <w:rPr>
                <w:rFonts w:ascii="Arial" w:hAnsi="Arial"/>
                <w:b/>
                <w:color w:val="FFFFFF"/>
                <w:sz w:val="20"/>
              </w:rPr>
              <w:t>#</w:t>
            </w:r>
          </w:p>
        </w:tc>
        <w:tc>
          <w:tcPr>
            <w:tcW w:type="dxa" w:w="5184"/>
            <w:shd w:val="clear" w:color="auto" w:fill="1F6FEB"/>
          </w:tcPr>
          <w:p>
            <w:r/>
            <w:r>
              <w:rPr>
                <w:rFonts w:ascii="Arial" w:hAnsi="Arial"/>
                <w:b/>
                <w:color w:val="FFFFFF"/>
                <w:sz w:val="20"/>
              </w:rPr>
              <w:t>Activity</w:t>
            </w:r>
          </w:p>
        </w:tc>
        <w:tc>
          <w:tcPr>
            <w:tcW w:type="dxa" w:w="720"/>
            <w:shd w:val="clear" w:color="auto" w:fill="1F6FEB"/>
          </w:tcPr>
          <w:p>
            <w:r/>
            <w:r>
              <w:rPr>
                <w:rFonts w:ascii="Arial" w:hAnsi="Arial"/>
                <w:b/>
                <w:color w:val="FFFFFF"/>
                <w:sz w:val="20"/>
              </w:rPr>
              <w:t>Day</w:t>
            </w:r>
          </w:p>
        </w:tc>
        <w:tc>
          <w:tcPr>
            <w:tcW w:type="dxa" w:w="1296"/>
            <w:shd w:val="clear" w:color="auto" w:fill="1F6FEB"/>
          </w:tcPr>
          <w:p>
            <w:r/>
            <w:r>
              <w:rPr>
                <w:rFonts w:ascii="Arial" w:hAnsi="Arial"/>
                <w:b/>
                <w:color w:val="FFFFFF"/>
                <w:sz w:val="20"/>
              </w:rPr>
              <w:t>Duration</w:t>
            </w:r>
          </w:p>
        </w:tc>
        <w:tc>
          <w:tcPr>
            <w:tcW w:type="dxa" w:w="2520"/>
            <w:shd w:val="clear" w:color="auto" w:fill="1F6FEB"/>
          </w:tcPr>
          <w:p>
            <w:r/>
            <w:r>
              <w:rPr>
                <w:rFonts w:ascii="Arial" w:hAnsi="Arial"/>
                <w:b/>
                <w:color w:val="FFFFFF"/>
                <w:sz w:val="20"/>
              </w:rPr>
              <w:t>K/A assessed</w:t>
            </w:r>
          </w:p>
        </w:tc>
      </w:tr>
      <w:tr>
        <w:tc>
          <w:tcPr>
            <w:tcW w:type="dxa" w:w="576"/>
          </w:tcPr>
          <w:p>
            <w:r/>
            <w:r>
              <w:rPr>
                <w:rFonts w:ascii="Arial" w:hAnsi="Arial"/>
                <w:b/>
                <w:sz w:val="19"/>
              </w:rPr>
              <w:t>1</w:t>
            </w:r>
          </w:p>
        </w:tc>
        <w:tc>
          <w:tcPr>
            <w:tcW w:type="dxa" w:w="5184"/>
          </w:tcPr>
          <w:p>
            <w:r/>
            <w:r>
              <w:rPr>
                <w:rFonts w:ascii="Arial" w:hAnsi="Arial"/>
                <w:b w:val="0"/>
                <w:sz w:val="19"/>
              </w:rPr>
              <w:t>Threat Modelling a Generative AI Concierge</w:t>
            </w:r>
          </w:p>
        </w:tc>
        <w:tc>
          <w:tcPr>
            <w:tcW w:type="dxa" w:w="720"/>
          </w:tcPr>
          <w:p>
            <w:r/>
            <w:r>
              <w:rPr>
                <w:rFonts w:ascii="Arial" w:hAnsi="Arial"/>
                <w:b w:val="0"/>
                <w:sz w:val="19"/>
              </w:rPr>
              <w:t>1</w:t>
            </w:r>
          </w:p>
        </w:tc>
        <w:tc>
          <w:tcPr>
            <w:tcW w:type="dxa" w:w="1296"/>
          </w:tcPr>
          <w:p>
            <w:r/>
            <w:r>
              <w:rPr>
                <w:rFonts w:ascii="Arial" w:hAnsi="Arial"/>
                <w:b w:val="0"/>
                <w:sz w:val="19"/>
              </w:rPr>
              <w:t>45 min</w:t>
            </w:r>
          </w:p>
        </w:tc>
        <w:tc>
          <w:tcPr>
            <w:tcW w:type="dxa" w:w="2520"/>
          </w:tcPr>
          <w:p>
            <w:r/>
            <w:r>
              <w:rPr>
                <w:rFonts w:ascii="Arial" w:hAnsi="Arial"/>
                <w:b w:val="0"/>
                <w:sz w:val="19"/>
              </w:rPr>
              <w:t>K2, K3, A4</w:t>
            </w:r>
          </w:p>
        </w:tc>
      </w:tr>
      <w:tr>
        <w:tc>
          <w:tcPr>
            <w:tcW w:type="dxa" w:w="576"/>
          </w:tcPr>
          <w:p>
            <w:r/>
            <w:r>
              <w:rPr>
                <w:rFonts w:ascii="Arial" w:hAnsi="Arial"/>
                <w:b/>
                <w:sz w:val="19"/>
              </w:rPr>
              <w:t>2</w:t>
            </w:r>
          </w:p>
        </w:tc>
        <w:tc>
          <w:tcPr>
            <w:tcW w:type="dxa" w:w="5184"/>
          </w:tcPr>
          <w:p>
            <w:r/>
            <w:r>
              <w:rPr>
                <w:rFonts w:ascii="Arial" w:hAnsi="Arial"/>
                <w:b w:val="0"/>
                <w:sz w:val="19"/>
              </w:rPr>
              <w:t>Prompt Injection and the PDPA-Reportable Leak</w:t>
            </w:r>
          </w:p>
        </w:tc>
        <w:tc>
          <w:tcPr>
            <w:tcW w:type="dxa" w:w="720"/>
          </w:tcPr>
          <w:p>
            <w:r/>
            <w:r>
              <w:rPr>
                <w:rFonts w:ascii="Arial" w:hAnsi="Arial"/>
                <w:b w:val="0"/>
                <w:sz w:val="19"/>
              </w:rPr>
              <w:t>1</w:t>
            </w:r>
          </w:p>
        </w:tc>
        <w:tc>
          <w:tcPr>
            <w:tcW w:type="dxa" w:w="1296"/>
          </w:tcPr>
          <w:p>
            <w:r/>
            <w:r>
              <w:rPr>
                <w:rFonts w:ascii="Arial" w:hAnsi="Arial"/>
                <w:b w:val="0"/>
                <w:sz w:val="19"/>
              </w:rPr>
              <w:t>60 min</w:t>
            </w:r>
          </w:p>
        </w:tc>
        <w:tc>
          <w:tcPr>
            <w:tcW w:type="dxa" w:w="2520"/>
          </w:tcPr>
          <w:p>
            <w:r/>
            <w:r>
              <w:rPr>
                <w:rFonts w:ascii="Arial" w:hAnsi="Arial"/>
                <w:b w:val="0"/>
                <w:sz w:val="19"/>
              </w:rPr>
              <w:t>K4, K1</w:t>
            </w:r>
          </w:p>
        </w:tc>
      </w:tr>
      <w:tr>
        <w:tc>
          <w:tcPr>
            <w:tcW w:type="dxa" w:w="576"/>
          </w:tcPr>
          <w:p>
            <w:r/>
            <w:r>
              <w:rPr>
                <w:rFonts w:ascii="Arial" w:hAnsi="Arial"/>
                <w:b/>
                <w:sz w:val="19"/>
              </w:rPr>
              <w:t>3</w:t>
            </w:r>
          </w:p>
        </w:tc>
        <w:tc>
          <w:tcPr>
            <w:tcW w:type="dxa" w:w="5184"/>
          </w:tcPr>
          <w:p>
            <w:r/>
            <w:r>
              <w:rPr>
                <w:rFonts w:ascii="Arial" w:hAnsi="Arial"/>
                <w:b w:val="0"/>
                <w:sz w:val="19"/>
              </w:rPr>
              <w:t>Selecting a Security Framework for GenAI and Agents</w:t>
            </w:r>
          </w:p>
        </w:tc>
        <w:tc>
          <w:tcPr>
            <w:tcW w:type="dxa" w:w="720"/>
          </w:tcPr>
          <w:p>
            <w:r/>
            <w:r>
              <w:rPr>
                <w:rFonts w:ascii="Arial" w:hAnsi="Arial"/>
                <w:b w:val="0"/>
                <w:sz w:val="19"/>
              </w:rPr>
              <w:t>2</w:t>
            </w:r>
          </w:p>
        </w:tc>
        <w:tc>
          <w:tcPr>
            <w:tcW w:type="dxa" w:w="1296"/>
          </w:tcPr>
          <w:p>
            <w:r/>
            <w:r>
              <w:rPr>
                <w:rFonts w:ascii="Arial" w:hAnsi="Arial"/>
                <w:b w:val="0"/>
                <w:sz w:val="19"/>
              </w:rPr>
              <w:t>60 min</w:t>
            </w:r>
          </w:p>
        </w:tc>
        <w:tc>
          <w:tcPr>
            <w:tcW w:type="dxa" w:w="2520"/>
          </w:tcPr>
          <w:p>
            <w:r/>
            <w:r>
              <w:rPr>
                <w:rFonts w:ascii="Arial" w:hAnsi="Arial"/>
                <w:b w:val="0"/>
                <w:sz w:val="19"/>
              </w:rPr>
              <w:t>A3, A5</w:t>
            </w:r>
          </w:p>
        </w:tc>
      </w:tr>
      <w:tr>
        <w:tc>
          <w:tcPr>
            <w:tcW w:type="dxa" w:w="576"/>
          </w:tcPr>
          <w:p>
            <w:r/>
            <w:r>
              <w:rPr>
                <w:rFonts w:ascii="Arial" w:hAnsi="Arial"/>
                <w:b/>
                <w:sz w:val="19"/>
              </w:rPr>
              <w:t>4</w:t>
            </w:r>
          </w:p>
        </w:tc>
        <w:tc>
          <w:tcPr>
            <w:tcW w:type="dxa" w:w="5184"/>
          </w:tcPr>
          <w:p>
            <w:r/>
            <w:r>
              <w:rPr>
                <w:rFonts w:ascii="Arial" w:hAnsi="Arial"/>
                <w:b w:val="0"/>
                <w:sz w:val="19"/>
              </w:rPr>
              <w:t>Rogue Agent Post-Incident Review</w:t>
            </w:r>
          </w:p>
        </w:tc>
        <w:tc>
          <w:tcPr>
            <w:tcW w:type="dxa" w:w="720"/>
          </w:tcPr>
          <w:p>
            <w:r/>
            <w:r>
              <w:rPr>
                <w:rFonts w:ascii="Arial" w:hAnsi="Arial"/>
                <w:b w:val="0"/>
                <w:sz w:val="19"/>
              </w:rPr>
              <w:t>2</w:t>
            </w:r>
          </w:p>
        </w:tc>
        <w:tc>
          <w:tcPr>
            <w:tcW w:type="dxa" w:w="1296"/>
          </w:tcPr>
          <w:p>
            <w:r/>
            <w:r>
              <w:rPr>
                <w:rFonts w:ascii="Arial" w:hAnsi="Arial"/>
                <w:b w:val="0"/>
                <w:sz w:val="19"/>
              </w:rPr>
              <w:t>60 min</w:t>
            </w:r>
          </w:p>
        </w:tc>
        <w:tc>
          <w:tcPr>
            <w:tcW w:type="dxa" w:w="2520"/>
          </w:tcPr>
          <w:p>
            <w:r/>
            <w:r>
              <w:rPr>
                <w:rFonts w:ascii="Arial" w:hAnsi="Arial"/>
                <w:b w:val="0"/>
                <w:sz w:val="19"/>
              </w:rPr>
              <w:t>K5</w:t>
            </w:r>
          </w:p>
        </w:tc>
      </w:tr>
      <w:tr>
        <w:tc>
          <w:tcPr>
            <w:tcW w:type="dxa" w:w="576"/>
          </w:tcPr>
          <w:p>
            <w:r/>
            <w:r>
              <w:rPr>
                <w:rFonts w:ascii="Arial" w:hAnsi="Arial"/>
                <w:b/>
                <w:sz w:val="19"/>
              </w:rPr>
              <w:t>5</w:t>
            </w:r>
          </w:p>
        </w:tc>
        <w:tc>
          <w:tcPr>
            <w:tcW w:type="dxa" w:w="5184"/>
          </w:tcPr>
          <w:p>
            <w:r/>
            <w:r>
              <w:rPr>
                <w:rFonts w:ascii="Arial" w:hAnsi="Arial"/>
                <w:b w:val="0"/>
                <w:sz w:val="19"/>
              </w:rPr>
              <w:t>Agent Governance and the Deployment Gate (capstone)</w:t>
            </w:r>
          </w:p>
        </w:tc>
        <w:tc>
          <w:tcPr>
            <w:tcW w:type="dxa" w:w="720"/>
          </w:tcPr>
          <w:p>
            <w:r/>
            <w:r>
              <w:rPr>
                <w:rFonts w:ascii="Arial" w:hAnsi="Arial"/>
                <w:b w:val="0"/>
                <w:sz w:val="19"/>
              </w:rPr>
              <w:t>2</w:t>
            </w:r>
          </w:p>
        </w:tc>
        <w:tc>
          <w:tcPr>
            <w:tcW w:type="dxa" w:w="1296"/>
          </w:tcPr>
          <w:p>
            <w:r/>
            <w:r>
              <w:rPr>
                <w:rFonts w:ascii="Arial" w:hAnsi="Arial"/>
                <w:b w:val="0"/>
                <w:sz w:val="19"/>
              </w:rPr>
              <w:t>25 min</w:t>
            </w:r>
          </w:p>
        </w:tc>
        <w:tc>
          <w:tcPr>
            <w:tcW w:type="dxa" w:w="2520"/>
          </w:tcPr>
          <w:p>
            <w:r/>
            <w:r>
              <w:rPr>
                <w:rFonts w:ascii="Arial" w:hAnsi="Arial"/>
                <w:b w:val="0"/>
                <w:sz w:val="19"/>
              </w:rPr>
              <w:t>A1, A2</w:t>
            </w:r>
          </w:p>
        </w:tc>
      </w:tr>
    </w:tbl>
    <w:p>
      <w:pPr>
        <w:pStyle w:val="Heading1"/>
      </w:pPr>
      <w:r>
        <w:t>4. Tools and Resources</w:t>
      </w:r>
    </w:p>
    <w:tbl>
      <w:tblPr>
        <w:tblStyle w:val="TableGrid"/>
        <w:tblW w:type="auto" w:w="0"/>
        <w:tblLook w:firstColumn="1" w:firstRow="1" w:lastColumn="0" w:lastRow="0" w:noHBand="0" w:noVBand="1" w:val="04A0"/>
      </w:tblPr>
      <w:tblGrid>
        <w:gridCol w:w="4320"/>
        <w:gridCol w:w="4320"/>
      </w:tblGrid>
      <w:tr>
        <w:tc>
          <w:tcPr>
            <w:tcW w:type="dxa" w:w="3600"/>
            <w:shd w:val="clear" w:color="auto" w:fill="1F6FEB"/>
          </w:tcPr>
          <w:p>
            <w:r/>
            <w:r>
              <w:rPr>
                <w:rFonts w:ascii="Arial" w:hAnsi="Arial"/>
                <w:b/>
                <w:color w:val="FFFFFF"/>
                <w:sz w:val="20"/>
              </w:rPr>
              <w:t>Resource</w:t>
            </w:r>
          </w:p>
        </w:tc>
        <w:tc>
          <w:tcPr>
            <w:tcW w:type="dxa" w:w="6696"/>
            <w:shd w:val="clear" w:color="auto" w:fill="1F6FEB"/>
          </w:tcPr>
          <w:p>
            <w:r/>
            <w:r>
              <w:rPr>
                <w:rFonts w:ascii="Arial" w:hAnsi="Arial"/>
                <w:b/>
                <w:color w:val="FFFFFF"/>
                <w:sz w:val="20"/>
              </w:rPr>
              <w:t>Purpose</w:t>
            </w:r>
          </w:p>
        </w:tc>
      </w:tr>
      <w:tr>
        <w:tc>
          <w:tcPr>
            <w:tcW w:type="dxa" w:w="3600"/>
          </w:tcPr>
          <w:p>
            <w:r/>
            <w:r>
              <w:rPr>
                <w:rFonts w:ascii="Arial" w:hAnsi="Arial"/>
                <w:b/>
                <w:sz w:val="19"/>
              </w:rPr>
              <w:t>Trainer slide deck (PPTX/PDF)</w:t>
            </w:r>
          </w:p>
        </w:tc>
        <w:tc>
          <w:tcPr>
            <w:tcW w:type="dxa" w:w="6696"/>
          </w:tcPr>
          <w:p>
            <w:r/>
            <w:r>
              <w:rPr>
                <w:rFonts w:ascii="Arial" w:hAnsi="Arial"/>
                <w:b w:val="0"/>
                <w:sz w:val="19"/>
              </w:rPr>
              <w:t>Facilitation, diagrams and case-study prompts</w:t>
            </w:r>
          </w:p>
        </w:tc>
      </w:tr>
      <w:tr>
        <w:tc>
          <w:tcPr>
            <w:tcW w:type="dxa" w:w="3600"/>
          </w:tcPr>
          <w:p>
            <w:r/>
            <w:r>
              <w:rPr>
                <w:rFonts w:ascii="Arial" w:hAnsi="Arial"/>
                <w:b/>
                <w:sz w:val="19"/>
              </w:rPr>
              <w:t>Learner Guide</w:t>
            </w:r>
          </w:p>
        </w:tc>
        <w:tc>
          <w:tcPr>
            <w:tcW w:type="dxa" w:w="6696"/>
          </w:tcPr>
          <w:p>
            <w:r/>
            <w:r>
              <w:rPr>
                <w:rFonts w:ascii="Arial" w:hAnsi="Arial"/>
                <w:b w:val="0"/>
                <w:sz w:val="19"/>
              </w:rPr>
              <w:t>Detailed step-by-step notes and activity walkthroughs</w:t>
            </w:r>
          </w:p>
        </w:tc>
      </w:tr>
      <w:tr>
        <w:tc>
          <w:tcPr>
            <w:tcW w:type="dxa" w:w="3600"/>
          </w:tcPr>
          <w:p>
            <w:r/>
            <w:r>
              <w:rPr>
                <w:rFonts w:ascii="Arial" w:hAnsi="Arial"/>
                <w:b/>
                <w:sz w:val="19"/>
              </w:rPr>
              <w:t>Activity packs (activities/)</w:t>
            </w:r>
          </w:p>
        </w:tc>
        <w:tc>
          <w:tcPr>
            <w:tcW w:type="dxa" w:w="6696"/>
          </w:tcPr>
          <w:p>
            <w:r/>
            <w:r>
              <w:rPr>
                <w:rFonts w:ascii="Arial" w:hAnsi="Arial"/>
                <w:b w:val="0"/>
                <w:sz w:val="19"/>
              </w:rPr>
              <w:t>Scenario, discussion questions and debrief per activity</w:t>
            </w:r>
          </w:p>
        </w:tc>
      </w:tr>
      <w:tr>
        <w:tc>
          <w:tcPr>
            <w:tcW w:type="dxa" w:w="3600"/>
          </w:tcPr>
          <w:p>
            <w:r/>
            <w:r>
              <w:rPr>
                <w:rFonts w:ascii="Arial" w:hAnsi="Arial"/>
                <w:b/>
                <w:sz w:val="19"/>
              </w:rPr>
              <w:t>LMS/TMS portal</w:t>
            </w:r>
          </w:p>
        </w:tc>
        <w:tc>
          <w:tcPr>
            <w:tcW w:type="dxa" w:w="6696"/>
          </w:tcPr>
          <w:p>
            <w:r/>
            <w:r>
              <w:rPr>
                <w:rFonts w:ascii="Arial" w:hAnsi="Arial"/>
                <w:b w:val="0"/>
                <w:sz w:val="19"/>
              </w:rPr>
              <w:t>lms-tms.tertiaryinfotech.com — course material and submission</w:t>
            </w:r>
          </w:p>
        </w:tc>
      </w:tr>
      <w:tr>
        <w:tc>
          <w:tcPr>
            <w:tcW w:type="dxa" w:w="3600"/>
          </w:tcPr>
          <w:p>
            <w:r/>
            <w:r>
              <w:rPr>
                <w:rFonts w:ascii="Arial" w:hAnsi="Arial"/>
                <w:b/>
                <w:sz w:val="19"/>
              </w:rPr>
              <w:t>Whiteboard / flip chart</w:t>
            </w:r>
          </w:p>
        </w:tc>
        <w:tc>
          <w:tcPr>
            <w:tcW w:type="dxa" w:w="6696"/>
          </w:tcPr>
          <w:p>
            <w:r/>
            <w:r>
              <w:rPr>
                <w:rFonts w:ascii="Arial" w:hAnsi="Arial"/>
                <w:b w:val="0"/>
                <w:sz w:val="19"/>
              </w:rPr>
              <w:t>Group threat modelling and kill-chain reconstruction</w:t>
            </w:r>
          </w:p>
        </w:tc>
      </w:tr>
      <w:tr>
        <w:tc>
          <w:tcPr>
            <w:tcW w:type="dxa" w:w="3600"/>
          </w:tcPr>
          <w:p>
            <w:r/>
            <w:r>
              <w:rPr>
                <w:rFonts w:ascii="Arial" w:hAnsi="Arial"/>
                <w:b/>
                <w:sz w:val="19"/>
              </w:rPr>
              <w:t>OWASP LLM &amp; ASI Top 10 (2026)</w:t>
            </w:r>
          </w:p>
        </w:tc>
        <w:tc>
          <w:tcPr>
            <w:tcW w:type="dxa" w:w="6696"/>
          </w:tcPr>
          <w:p>
            <w:r/>
            <w:r>
              <w:rPr>
                <w:rFonts w:ascii="Arial" w:hAnsi="Arial"/>
                <w:b w:val="0"/>
                <w:sz w:val="19"/>
              </w:rPr>
              <w:t>Reference taxonomies used throughout</w:t>
            </w:r>
          </w:p>
        </w:tc>
      </w:tr>
      <w:tr>
        <w:tc>
          <w:tcPr>
            <w:tcW w:type="dxa" w:w="3600"/>
          </w:tcPr>
          <w:p>
            <w:r/>
            <w:r>
              <w:rPr>
                <w:rFonts w:ascii="Arial" w:hAnsi="Arial"/>
                <w:b/>
                <w:sz w:val="19"/>
              </w:rPr>
              <w:t>IMDA / PDPC publications</w:t>
            </w:r>
          </w:p>
        </w:tc>
        <w:tc>
          <w:tcPr>
            <w:tcW w:type="dxa" w:w="6696"/>
          </w:tcPr>
          <w:p>
            <w:r/>
            <w:r>
              <w:rPr>
                <w:rFonts w:ascii="Arial" w:hAnsi="Arial"/>
                <w:b w:val="0"/>
                <w:sz w:val="19"/>
              </w:rPr>
              <w:t>Singapore governance and data-protection reference</w:t>
            </w:r>
          </w:p>
        </w:tc>
      </w:tr>
    </w:tbl>
    <w:p>
      <w:pPr>
        <w:pStyle w:val="Heading1"/>
      </w:pPr>
      <w:r>
        <w:t>5. Assessment</w:t>
      </w:r>
    </w:p>
    <w:p>
      <w:pPr>
        <w:spacing w:after="120"/>
      </w:pPr>
      <w:r>
        <w:rPr>
          <w:rFonts w:ascii="Arial" w:hAnsi="Arial"/>
          <w:b w:val="0"/>
          <w:color w:val="111827"/>
          <w:sz w:val="22"/>
        </w:rPr>
        <w:t>Assessment is conducted at the end of Day 2. The briefing for assessment is delivered before the assessment begins.</w:t>
      </w:r>
    </w:p>
    <w:tbl>
      <w:tblPr>
        <w:tblStyle w:val="TableGrid"/>
        <w:tblW w:type="auto" w:w="0"/>
        <w:tblLook w:firstColumn="1" w:firstRow="1" w:lastColumn="0" w:lastRow="0" w:noHBand="0" w:noVBand="1" w:val="04A0"/>
      </w:tblPr>
      <w:tblGrid>
        <w:gridCol w:w="2880"/>
        <w:gridCol w:w="2880"/>
        <w:gridCol w:w="2880"/>
      </w:tblGrid>
      <w:tr>
        <w:tc>
          <w:tcPr>
            <w:tcW w:type="dxa" w:w="2520"/>
            <w:shd w:val="clear" w:color="auto" w:fill="1F6FEB"/>
          </w:tcPr>
          <w:p>
            <w:r/>
            <w:r>
              <w:rPr>
                <w:rFonts w:ascii="Arial" w:hAnsi="Arial"/>
                <w:b/>
                <w:color w:val="FFFFFF"/>
                <w:sz w:val="20"/>
              </w:rPr>
              <w:t>Instrument</w:t>
            </w:r>
          </w:p>
        </w:tc>
        <w:tc>
          <w:tcPr>
            <w:tcW w:type="dxa" w:w="1944"/>
            <w:shd w:val="clear" w:color="auto" w:fill="1F6FEB"/>
          </w:tcPr>
          <w:p>
            <w:r/>
            <w:r>
              <w:rPr>
                <w:rFonts w:ascii="Arial" w:hAnsi="Arial"/>
                <w:b/>
                <w:color w:val="FFFFFF"/>
                <w:sz w:val="20"/>
              </w:rPr>
              <w:t>Covers</w:t>
            </w:r>
          </w:p>
        </w:tc>
        <w:tc>
          <w:tcPr>
            <w:tcW w:type="dxa" w:w="5832"/>
            <w:shd w:val="clear" w:color="auto" w:fill="1F6FEB"/>
          </w:tcPr>
          <w:p>
            <w:r/>
            <w:r>
              <w:rPr>
                <w:rFonts w:ascii="Arial" w:hAnsi="Arial"/>
                <w:b/>
                <w:color w:val="FFFFFF"/>
                <w:sz w:val="20"/>
              </w:rPr>
              <w:t>Detail</w:t>
            </w:r>
          </w:p>
        </w:tc>
      </w:tr>
      <w:tr>
        <w:tc>
          <w:tcPr>
            <w:tcW w:type="dxa" w:w="2520"/>
          </w:tcPr>
          <w:p>
            <w:r/>
            <w:r>
              <w:rPr>
                <w:rFonts w:ascii="Arial" w:hAnsi="Arial"/>
                <w:b/>
                <w:sz w:val="19"/>
              </w:rPr>
              <w:t>Written Assessment (SAQ)</w:t>
            </w:r>
          </w:p>
        </w:tc>
        <w:tc>
          <w:tcPr>
            <w:tcW w:type="dxa" w:w="1944"/>
          </w:tcPr>
          <w:p>
            <w:r/>
            <w:r>
              <w:rPr>
                <w:rFonts w:ascii="Arial" w:hAnsi="Arial"/>
                <w:b w:val="0"/>
                <w:sz w:val="19"/>
              </w:rPr>
              <w:t>K1 – K5</w:t>
            </w:r>
          </w:p>
        </w:tc>
        <w:tc>
          <w:tcPr>
            <w:tcW w:type="dxa" w:w="5832"/>
          </w:tcPr>
          <w:p>
            <w:r/>
            <w:r>
              <w:rPr>
                <w:rFonts w:ascii="Arial" w:hAnsi="Arial"/>
                <w:b w:val="0"/>
                <w:sz w:val="19"/>
              </w:rPr>
              <w:t>Written Assessment (SAQ) — 5 short-answer questions, one per K statement</w:t>
            </w:r>
          </w:p>
        </w:tc>
      </w:tr>
      <w:tr>
        <w:tc>
          <w:tcPr>
            <w:tcW w:type="dxa" w:w="2520"/>
          </w:tcPr>
          <w:p>
            <w:r/>
            <w:r>
              <w:rPr>
                <w:rFonts w:ascii="Arial" w:hAnsi="Arial"/>
                <w:b/>
                <w:sz w:val="19"/>
              </w:rPr>
              <w:t>Case Study</w:t>
            </w:r>
          </w:p>
        </w:tc>
        <w:tc>
          <w:tcPr>
            <w:tcW w:type="dxa" w:w="1944"/>
          </w:tcPr>
          <w:p>
            <w:r/>
            <w:r>
              <w:rPr>
                <w:rFonts w:ascii="Arial" w:hAnsi="Arial"/>
                <w:b w:val="0"/>
                <w:sz w:val="19"/>
              </w:rPr>
              <w:t>A1 – A5 via LO1 – LO3</w:t>
            </w:r>
          </w:p>
        </w:tc>
        <w:tc>
          <w:tcPr>
            <w:tcW w:type="dxa" w:w="5832"/>
          </w:tcPr>
          <w:p>
            <w:r/>
            <w:r>
              <w:rPr>
                <w:rFonts w:ascii="Arial" w:hAnsi="Arial"/>
                <w:b w:val="0"/>
                <w:sz w:val="19"/>
              </w:rPr>
              <w:t>Case Study — 3 questions, one per Learning Outcome, mapped to the A statements</w:t>
            </w:r>
          </w:p>
        </w:tc>
      </w:tr>
      <w:tr>
        <w:tc>
          <w:tcPr>
            <w:tcW w:type="dxa" w:w="2520"/>
          </w:tcPr>
          <w:p>
            <w:r/>
            <w:r>
              <w:rPr>
                <w:rFonts w:ascii="Arial" w:hAnsi="Arial"/>
                <w:b/>
                <w:sz w:val="19"/>
              </w:rPr>
              <w:t>Format</w:t>
            </w:r>
          </w:p>
        </w:tc>
        <w:tc>
          <w:tcPr>
            <w:tcW w:type="dxa" w:w="1944"/>
          </w:tcPr>
          <w:p>
            <w:r/>
            <w:r>
              <w:rPr>
                <w:rFonts w:ascii="Arial" w:hAnsi="Arial"/>
                <w:b w:val="0"/>
                <w:sz w:val="19"/>
              </w:rPr>
              <w:t>—</w:t>
            </w:r>
          </w:p>
        </w:tc>
        <w:tc>
          <w:tcPr>
            <w:tcW w:type="dxa" w:w="5832"/>
          </w:tcPr>
          <w:p>
            <w:r/>
            <w:r>
              <w:rPr>
                <w:rFonts w:ascii="Arial" w:hAnsi="Arial"/>
                <w:b w:val="0"/>
                <w:sz w:val="19"/>
              </w:rPr>
              <w:t>Open Book</w:t>
            </w:r>
          </w:p>
        </w:tc>
      </w:tr>
      <w:tr>
        <w:tc>
          <w:tcPr>
            <w:tcW w:type="dxa" w:w="2520"/>
          </w:tcPr>
          <w:p>
            <w:r/>
            <w:r>
              <w:rPr>
                <w:rFonts w:ascii="Arial" w:hAnsi="Arial"/>
                <w:b/>
                <w:sz w:val="19"/>
              </w:rPr>
              <w:t>Grading</w:t>
            </w:r>
          </w:p>
        </w:tc>
        <w:tc>
          <w:tcPr>
            <w:tcW w:type="dxa" w:w="1944"/>
          </w:tcPr>
          <w:p>
            <w:r/>
            <w:r>
              <w:rPr>
                <w:rFonts w:ascii="Arial" w:hAnsi="Arial"/>
                <w:b w:val="0"/>
                <w:sz w:val="19"/>
              </w:rPr>
              <w:t>—</w:t>
            </w:r>
          </w:p>
        </w:tc>
        <w:tc>
          <w:tcPr>
            <w:tcW w:type="dxa" w:w="5832"/>
          </w:tcPr>
          <w:p>
            <w:r/>
            <w:r>
              <w:rPr>
                <w:rFonts w:ascii="Arial" w:hAnsi="Arial"/>
                <w:b w:val="0"/>
                <w:sz w:val="19"/>
              </w:rPr>
              <w:t>Competent / Not Yet Competent</w:t>
            </w:r>
          </w:p>
        </w:tc>
      </w:tr>
      <w:tr>
        <w:tc>
          <w:tcPr>
            <w:tcW w:type="dxa" w:w="2520"/>
          </w:tcPr>
          <w:p>
            <w:r/>
            <w:r>
              <w:rPr>
                <w:rFonts w:ascii="Arial" w:hAnsi="Arial"/>
                <w:b/>
                <w:sz w:val="19"/>
              </w:rPr>
              <w:t>Re-assessment</w:t>
            </w:r>
          </w:p>
        </w:tc>
        <w:tc>
          <w:tcPr>
            <w:tcW w:type="dxa" w:w="1944"/>
          </w:tcPr>
          <w:p>
            <w:r/>
            <w:r>
              <w:rPr>
                <w:rFonts w:ascii="Arial" w:hAnsi="Arial"/>
                <w:b w:val="0"/>
                <w:sz w:val="19"/>
              </w:rPr>
              <w:t>—</w:t>
            </w:r>
          </w:p>
        </w:tc>
        <w:tc>
          <w:tcPr>
            <w:tcW w:type="dxa" w:w="5832"/>
          </w:tcPr>
          <w:p>
            <w:r/>
            <w:r>
              <w:rPr>
                <w:rFonts w:ascii="Arial" w:hAnsi="Arial"/>
                <w:b w:val="0"/>
                <w:sz w:val="19"/>
              </w:rPr>
              <w:t>Available for learners assessed Not Yet Competent</w:t>
            </w:r>
          </w:p>
        </w:tc>
      </w:tr>
    </w:tbl>
    <w:p>
      <w:pPr>
        <w:spacing w:after="120"/>
      </w:pPr>
      <w:r>
        <w:rPr>
          <w:rFonts w:ascii="Arial" w:hAnsi="Arial"/>
          <w:b w:val="0"/>
          <w:color w:val="111827"/>
          <w:sz w:val="22"/>
        </w:rPr>
      </w:r>
    </w:p>
    <w:p>
      <w:pPr>
        <w:spacing w:after="120"/>
      </w:pPr>
      <w:r>
        <w:rPr>
          <w:rFonts w:ascii="Arial" w:hAnsi="Arial"/>
          <w:b w:val="0"/>
          <w:color w:val="111827"/>
          <w:sz w:val="20"/>
        </w:rPr>
        <w:t>Funding eligibility requires a minimum 75% attendance recorded through SSG digital attendance, an assessment outcome of Competent, and completion of the TRAQOM survey.</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This material belongs to Tertiary Infotech Pte Ltd (UEN: 20120096W).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