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Security for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TGS-2025060473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pStyle w:val="Heading1"/>
      </w:pPr>
      <w:r>
        <w:t>Document Version Control Record</w:t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Core Principles and Ethical Challenges in Generative AI.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17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Retitled and rebuilt for generative-AI and autonomous-agent security; five activities and detailed walkthroughs added. TSC K/A text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prompt-injection practice, PDPA guidance, guardrails, human approval, skill/plugin controls and visual teaching aids. TSC K/A text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to the evidence-grounded 207-slide deck; added product boundaries, documented cases, control gates, detailed activities and source register. Unverified claims removed. TSC K/A text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60"/>
      </w:pPr>
      <w:r>
        <w:rPr>
          <w:rFonts w:ascii="Arial" w:hAnsi="Arial"/>
          <w:b w:val="0"/>
          <w:i w:val="0"/>
          <w:color w:val="555B66"/>
          <w:sz w:val="19"/>
        </w:rPr>
        <w:t>Generated section contents for this v3.0 build.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Page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About This Course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How to Use This Evidence-Grounded Guide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Day 1 — From AI Models to Acting Systems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Day 2 — Attack, Defend, Govern, Operate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Detailed Activity Walkthroughs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101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Operational Best-Practice Checklist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107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Source Register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108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About This Course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AI Security for Autonomous AI Agents is a 2 Days · 16 Hours WSQ course covering the security of generative AI systems and of autonomous AI agents. It is delivered through real-world case studies and grounded in the current security and governance frameworks.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This guide follows the course structure. Each section names the accredited knowledge (K) or ability (A) statement it evidences, and every activity has a full step-by-step walkthrough.</w:t>
      </w:r>
    </w:p>
    <w:p>
      <w:pPr>
        <w:pStyle w:val="Heading2"/>
      </w:pPr>
      <w:r>
        <w:t>Learning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LO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Learning Outcome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LO1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Demonstrate generative AI concepts and applications relevant to customer service and hospitality management.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LO2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Apply prompt engineering techniques and analyse output variations to improve generative AI performance in service settings.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LO3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Identify ethical risks and analyse bias in AI-generated content used in customer engagement.</w:t>
            </w:r>
          </w:p>
        </w:tc>
      </w:tr>
    </w:tbl>
    <w:p>
      <w:pPr>
        <w:spacing w:after="80"/>
      </w:pPr>
    </w:p>
    <w:p>
      <w:pPr>
        <w:pStyle w:val="Heading2"/>
      </w:pPr>
      <w:r>
        <w:t>Knowledge Statements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Knowledge statement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K1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Importance of data quality, preprocessing, model pipeline and model training (e.g., impact of data bias from training data)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K2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Underlying principles, core concepts and theories governing generative AI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K3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Difference between generative and discriminative models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K4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Impact of prompt engineering on the model outputs of generative AI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K5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Generative AI model workings, including training data, algorithms, and outputs</w:t>
            </w:r>
          </w:p>
        </w:tc>
      </w:tr>
    </w:tbl>
    <w:p>
      <w:pPr>
        <w:spacing w:after="80"/>
      </w:pPr>
    </w:p>
    <w:p>
      <w:pPr>
        <w:pStyle w:val="Heading2"/>
      </w:pPr>
      <w:r>
        <w:t>Ability Statements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Ability statement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A1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Analyse limitations and potential biases in AI-generated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A2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Identify the ethical implications and societal impact of AI-generated content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A3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Apply understanding of generative AI principles to use cases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A4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Demonstrate the use of generation AI in diverse applications (e.g., summarisation, inference, reasoning, transformation of content, augmentation of content)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A5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Analyse generative AI models' performance metrics and evaluate the influence of prompt variations</w:t>
            </w:r>
          </w:p>
        </w:tc>
      </w:tr>
    </w:tbl>
    <w:p>
      <w:pPr>
        <w:spacing w:after="80"/>
      </w:pPr>
    </w:p>
    <w:p>
      <w:pPr>
        <w:pStyle w:val="Heading1"/>
      </w:pPr>
      <w:r>
        <w:t>How to Use This Evidence-Grounded Guide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This guide follows the 207-slide trainer deck in sequence. It expands the concepts, evidence status and control logic while keeping click-by-click procedures in the five activity walkthroughs. Product capabilities are always configuration- and version-specific.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 label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How to use it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HIST / DEF / PROD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Historical, definitional or product documentation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Cite the listed source and check the as-of date.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CASE-V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Verified incident, vulnerability or adjudicated case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State only what the primary or authoritative record supports.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CASE-R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Reported security research or campaign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Preserve the source's method, denominator and limitations.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SIM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Realistic synthetic classroom scenario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Treat every name, event and number as fictional.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Instructional synthesis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 as a reasoning aid, not as a claimed empirical statistic.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RULE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Never convert a demonstration into a breach, a simulation into a real incident, or a vendor statement into an independently verified outcome.</w:t>
            </w:r>
          </w:p>
        </w:tc>
      </w:tr>
    </w:tbl>
    <w:p>
      <w:pPr>
        <w:spacing w:after="80"/>
      </w:pPr>
    </w:p>
    <w:p>
      <w:pPr>
        <w:pStyle w:val="Heading2"/>
      </w:pPr>
      <w:r>
        <w:t>Slide 5 — Who Is in the Room?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Role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What systems do you own or use?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Exposure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What data and tools can they reach?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Concern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What outcome would be hardest to reverse?</w:t>
            </w:r>
          </w:p>
        </w:tc>
      </w:tr>
    </w:tbl>
    <w:p>
      <w:pPr>
        <w:spacing w:after="80"/>
      </w:pPr>
    </w:p>
    <w:p>
      <w:pPr>
        <w:pStyle w:val="Heading2"/>
      </w:pPr>
      <w:r>
        <w:t>Slide 6 — Working Agreements for Security Labs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Synthetic data only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 live credentials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Local dummy tools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 real recipients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Share evidence, not secrets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 production probing</w:t>
            </w:r>
          </w:p>
        </w:tc>
      </w:tr>
    </w:tbl>
    <w:p>
      <w:r>
        <w:br w:type="page"/>
      </w:r>
    </w:p>
    <w:p>
      <w:pPr>
        <w:pStyle w:val="Heading2"/>
      </w:pPr>
      <w:r>
        <w:t>Slide 7 — Why This Course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Model generates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Workflow iterates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Agent receives tools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Authority creates impact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Security changes when probabilistic output can trigger actions in real systems.</w:t>
            </w:r>
          </w:p>
        </w:tc>
      </w:tr>
    </w:tbl>
    <w:p>
      <w:pPr>
        <w:spacing w:after="80"/>
      </w:pPr>
    </w:p>
    <w:p>
      <w:pPr>
        <w:pStyle w:val="Heading2"/>
      </w:pPr>
      <w:r>
        <w:t>Slide 8 — Two-Day Learning Journey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Evolution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System types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Attack surfaces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Cases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Controls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6.  </w:t>
      </w:r>
      <w:r>
        <w:rPr>
          <w:rFonts w:ascii="Arial" w:hAnsi="Arial"/>
          <w:color w:val="111827"/>
          <w:sz w:val="21"/>
        </w:rPr>
        <w:t>Governance</w:t>
      </w:r>
    </w:p>
    <w:p>
      <w:r>
        <w:br w:type="page"/>
      </w:r>
    </w:p>
    <w:p>
      <w:pPr>
        <w:pStyle w:val="Heading2"/>
      </w:pPr>
      <w:r>
        <w:t>Slide 9 — Learning Outcomes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LO1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Explain GenAI concepts and applications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LO2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Test prompt variations and controls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LO3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Analyse ethical, bias and security risks</w:t>
            </w:r>
          </w:p>
        </w:tc>
      </w:tr>
    </w:tbl>
    <w:p>
      <w:pPr>
        <w:spacing w:after="80"/>
      </w:pPr>
    </w:p>
    <w:p>
      <w:pPr>
        <w:pStyle w:val="Heading2"/>
      </w:pPr>
      <w:r>
        <w:t>Slide 10 — K1–K5 and A1–A5 Evidence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 family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Statements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Where demonstrated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Models and data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K1–K3, K5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History, taxonomy, poisoning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Prompts and metrics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K4, A5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Injection activity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Use, limits, ethics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A1–A4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Cases and deployment gate</w:t>
            </w:r>
          </w:p>
        </w:tc>
      </w:tr>
    </w:tbl>
    <w:p>
      <w:r>
        <w:br w:type="page"/>
      </w:r>
    </w:p>
    <w:p>
      <w:pPr>
        <w:pStyle w:val="Heading2"/>
      </w:pPr>
      <w:r>
        <w:t>Slide 11 — Briefing for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Read the task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Use course evidence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State assumptions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Justify control choice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Submit on LMS</w:t>
      </w:r>
    </w:p>
    <w:p>
      <w:pPr>
        <w:pStyle w:val="Heading2"/>
      </w:pPr>
      <w:r>
        <w:t>Slide 12 — Assessment Components and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Written Assessment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Case Study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Knowledge statements K1–K5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Learning outcomes and abilities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Open book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Evidence-based recommendation</w:t>
            </w:r>
          </w:p>
        </w:tc>
      </w:tr>
    </w:tbl>
    <w:p>
      <w:r>
        <w:br w:type="page"/>
      </w:r>
    </w:p>
    <w:p>
      <w:pPr>
        <w:pStyle w:val="Heading1"/>
      </w:pPr>
      <w:r>
        <w:t>Day 1 — From AI Models to Acting Systems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Origins → generation → agency → product anatomy → threat model</w:t>
      </w:r>
    </w:p>
    <w:p>
      <w:pPr>
        <w:pStyle w:val="Heading2"/>
      </w:pPr>
      <w:r>
        <w:t>Slide 15 — The Dependency Map: What Must Be Understood First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What is the system?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What components does it add?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What authority does it receive?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What can fail?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What evidence controls it?</w:t>
      </w:r>
    </w:p>
    <w:p>
      <w:pPr>
        <w:pStyle w:val="Heading2"/>
      </w:pPr>
      <w:r>
        <w:t>Slide 16 — Before ‘Generative’: What Did AI Mean?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AI system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Engineered system producing predictions, recommendations, decisions or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Objective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Outputs influence virtual or physical environments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Autonomy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Systems operate with varying levels of autonomy</w:t>
            </w:r>
          </w:p>
        </w:tc>
      </w:tr>
    </w:tbl>
    <w:p>
      <w:r>
        <w:br w:type="page"/>
      </w:r>
    </w:p>
    <w:p>
      <w:pPr>
        <w:pStyle w:val="Heading2"/>
      </w:pPr>
      <w:r>
        <w:t>Slide 17 — 1950 — The Machine-Intelligence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S01 — Turing, Computing Machinery and Intelligence (1950)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Turing reframed the question through observable conversational behaviour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The paper discussed learning machines as well as fixed programs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It predates the term artificial intelligence</w:t>
      </w:r>
    </w:p>
    <w:p>
      <w:pPr>
        <w:pStyle w:val="Heading2"/>
      </w:pPr>
      <w:r>
        <w:t>Slide 18 — 1955–1956 — ‘Artificial Intelligence’ Is Named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S02 — Dartmouth Summer Research Project on AI proposal, S03 — NIST, Reflections on Artificial Intelligence in Engineering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The Dartmouth proposal used the term artificial intelligence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The summer project took place in 1956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The proposal treated learning and intelligence as problems that could be described precisely</w:t>
      </w:r>
    </w:p>
    <w:p>
      <w:r>
        <w:br w:type="page"/>
      </w:r>
    </w:p>
    <w:p>
      <w:pPr>
        <w:pStyle w:val="Heading2"/>
      </w:pPr>
      <w:r>
        <w:t>Slide 19 — Symbolic AI and Early Learning 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S03 — NIST, Reflections on Artificial Intelligence in Engineering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Symbolic systems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Learning systems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Represent knowledge as rules and symbols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Adjust behaviour from examples or feedback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Reason through explicit operations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Depend on data and objective design</w:t>
            </w:r>
          </w:p>
        </w:tc>
      </w:tr>
    </w:tbl>
    <w:p>
      <w:pPr>
        <w:spacing w:after="80"/>
      </w:pPr>
    </w:p>
    <w:p>
      <w:pPr>
        <w:pStyle w:val="Heading2"/>
      </w:pPr>
      <w:r>
        <w:t>Slide 20 — Cycles of AI Expectation and Investment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S03 — NIST, Reflections on Artificial Intelligence in Engineering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High expectations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Technical and funding limits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Reduced investment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Narrow commercial revival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history is cyclical; avoid a single-cause story for either progress or slowdown.</w:t>
            </w:r>
          </w:p>
        </w:tc>
      </w:tr>
    </w:tbl>
    <w:p>
      <w:r>
        <w:br w:type="page"/>
      </w:r>
    </w:p>
    <w:p>
      <w:pPr>
        <w:pStyle w:val="Heading2"/>
      </w:pPr>
      <w:r>
        <w:t>Slide 21 — Statistical Machine Learning — Course Synthesis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Collect examples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Represent features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Fit parameters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Evaluate on held-out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decision boundary is learned from data rather than authored as a complete rule set.</w:t>
            </w:r>
          </w:p>
        </w:tc>
      </w:tr>
    </w:tbl>
    <w:p>
      <w:pPr>
        <w:spacing w:after="80"/>
      </w:pPr>
    </w:p>
    <w:p>
      <w:pPr>
        <w:pStyle w:val="Heading2"/>
      </w:pPr>
      <w:r>
        <w:t>Slide 22 — 2012 — Deep Learning’s Visibility Breakthrough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S04 — Krizhevsky et al., ImageNet Classification with Deep CNNs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AlexNet used a deep convolutional network for ImageNet classification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The published system used GPUs to train the model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Its result helped demonstrate the practical impact of deep learned representations</w:t>
      </w:r>
    </w:p>
    <w:p>
      <w:r>
        <w:br w:type="page"/>
      </w:r>
    </w:p>
    <w:p>
      <w:pPr>
        <w:pStyle w:val="Heading2"/>
      </w:pPr>
      <w:r>
        <w:t>Slide 23 — Sequence Models and the Attention Problem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S05 — Vaswani et al., Attention Is All You Need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Many earlier neural sequence models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Attention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Recurrence processes tokens in order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Weights relationships between positions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Long dependencies are difficult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Creates shorter paths between relevant tokens</w:t>
            </w:r>
          </w:p>
        </w:tc>
      </w:tr>
    </w:tbl>
    <w:p>
      <w:pPr>
        <w:spacing w:after="80"/>
      </w:pPr>
    </w:p>
    <w:p>
      <w:pPr>
        <w:pStyle w:val="Heading2"/>
      </w:pPr>
      <w:r>
        <w:t>Slide 24 — 2017 — The Transformer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S05 — Vaswani et al., Attention Is All You Need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Token representations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Self-attention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Feed-forward layers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Parallel training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original architecture dispensed with recurrence and convolution for its sequence-transduction tasks.</w:t>
            </w:r>
          </w:p>
        </w:tc>
      </w:tr>
    </w:tbl>
    <w:p>
      <w:r>
        <w:br w:type="page"/>
      </w:r>
    </w:p>
    <w:p>
      <w:pPr>
        <w:pStyle w:val="Heading2"/>
      </w:pPr>
      <w:r>
        <w:t>Slide 25 — From Large Models to Foundation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Pre-train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Learn broad patterns from large, diverse corpora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Adapt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Prompt, fine-tune or retrieve for a task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Reuse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One model supports many downstream applications</w:t>
            </w:r>
          </w:p>
        </w:tc>
      </w:tr>
    </w:tbl>
    <w:p>
      <w:pPr>
        <w:spacing w:after="80"/>
      </w:pPr>
    </w:p>
    <w:p>
      <w:pPr>
        <w:pStyle w:val="Heading2"/>
      </w:pPr>
      <w:r>
        <w:t>Slide 26 — 2020 — Few-Shot Behaviour at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S06 — Brown et al., Language Models are Few-Shot Learners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GPT-3 was evaluated on tasks described through text prompts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Few-shot examples were provided in context rather than through task-specific gradient updates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Performance varied substantially by task and prompt</w:t>
      </w:r>
    </w:p>
    <w:p>
      <w:r>
        <w:br w:type="page"/>
      </w:r>
    </w:p>
    <w:p>
      <w:pPr>
        <w:pStyle w:val="Heading2"/>
      </w:pPr>
      <w:r>
        <w:t>Slide 27 — Instruction Following and Human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S07 — Ouyang et al., Training language models to follow instructions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Collect demonstrations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Train a reward model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Optimise against preferences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Evaluate helpfulness and safety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Human feedback changes behaviour; it does not create a deterministic policy boundary.</w:t>
            </w:r>
          </w:p>
        </w:tc>
      </w:tr>
    </w:tbl>
    <w:p>
      <w:pPr>
        <w:spacing w:after="80"/>
      </w:pPr>
    </w:p>
    <w:p>
      <w:pPr>
        <w:pStyle w:val="Heading2"/>
      </w:pPr>
      <w:r>
        <w:t>Slide 28 — November 2022 — ChatGPT Broadens the Conversational Interface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HIST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S08 — Stanford AI Index Report 2023, S09 — NIST AI 600-1, Generative AI Profile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ChatGPT's public release in November 2022 made multi-turn language-model interaction widely visible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Natural-language prompts exposed many tasks through one interface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A conversational interface did not remove limitations, variability or data risk</w:t>
      </w:r>
    </w:p>
    <w:p>
      <w:r>
        <w:br w:type="page"/>
      </w:r>
    </w:p>
    <w:p>
      <w:pPr>
        <w:pStyle w:val="Heading2"/>
      </w:pPr>
      <w:r>
        <w:t>Slide 29 — Retrieval and Tool Use Move Beyond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Generate from model knowledge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Retrieve external 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Call structured tools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Iterate toward a goal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Each step adds utility and a new trust boundary.</w:t>
            </w:r>
          </w:p>
        </w:tc>
      </w:tr>
    </w:tbl>
    <w:p>
      <w:pPr>
        <w:spacing w:after="80"/>
      </w:pPr>
    </w:p>
    <w:p>
      <w:pPr>
        <w:pStyle w:val="Heading2"/>
      </w:pPr>
      <w:r>
        <w:t>Slide 30 — The Evolution in One 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S01 — Turing, Computing Machinery and Intelligence (1950), S02 — Dartmouth Summer Research Project on AI proposal, S05 — Vaswani et al., Attention Is All You Need,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Reason with symbols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Learn patterns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Generate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Retrieve and use tools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Plan and 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This is an instructional synthesis, not a claim that one paradigm replaced every earlier one.</w:t>
            </w:r>
          </w:p>
        </w:tc>
      </w:tr>
    </w:tbl>
    <w:p>
      <w:r>
        <w:br w:type="page"/>
      </w:r>
    </w:p>
    <w:p>
      <w:pPr>
        <w:pStyle w:val="Heading2"/>
      </w:pPr>
      <w:r>
        <w:t>Slide 32 — A Taxonomy Warning: The Terms Are Not Standardised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Sources use overlapping labels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The course declares operational definitions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Classify the architecture, not the marketing name</w:t>
      </w:r>
    </w:p>
    <w:p>
      <w:pPr>
        <w:pStyle w:val="Heading2"/>
      </w:pPr>
      <w:r>
        <w:t>Slide 33 — Generative AI — Course Definition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Primary purpose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Generate synthetic text, image, audio, video or code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Interaction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Respond to supplied context and prompts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Boundary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model response alone does not imply autonomous action</w:t>
            </w:r>
          </w:p>
        </w:tc>
      </w:tr>
    </w:tbl>
    <w:p>
      <w:r>
        <w:br w:type="page"/>
      </w:r>
    </w:p>
    <w:p>
      <w:pPr>
        <w:pStyle w:val="Heading2"/>
      </w:pPr>
      <w:r>
        <w:t>Slide 34 — How an Autoregressive Language Model Produces 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S05 — Vaswani et al., Attention Is All You Need, S09 — NIST AI 600-1, Generative AI Profile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Tokenise 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Compute contextual representations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Estimate next-token probabilities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Decode the next-token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Sampling and context make output probabilistic rather than a fixed database lookup.</w:t>
            </w:r>
          </w:p>
        </w:tc>
      </w:tr>
    </w:tbl>
    <w:p>
      <w:pPr>
        <w:spacing w:after="80"/>
      </w:pPr>
    </w:p>
    <w:p>
      <w:pPr>
        <w:pStyle w:val="Heading2"/>
      </w:pPr>
      <w:r>
        <w:t>Slide 35 — Generative vs Discriminative Models — Course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Generative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Discriminative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Learns patterns used to produce new content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Learns to predict a class or score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May be exposed to injection, leakage, poisoning and unsafe output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May be exposed to poisoning, evasion, leakage and false positives</w:t>
            </w:r>
          </w:p>
        </w:tc>
      </w:tr>
    </w:tbl>
    <w:p>
      <w:r>
        <w:br w:type="page"/>
      </w:r>
    </w:p>
    <w:p>
      <w:pPr>
        <w:pStyle w:val="Heading2"/>
      </w:pPr>
      <w:r>
        <w:t>Slide 36 — Generative AI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Synthesis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Combine patterns into a new response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Transformation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Rewrite, translate or structure content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Interface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Express many tasks in natural language</w:t>
            </w:r>
          </w:p>
        </w:tc>
      </w:tr>
    </w:tbl>
    <w:p>
      <w:pPr>
        <w:spacing w:after="80"/>
      </w:pPr>
    </w:p>
    <w:p>
      <w:pPr>
        <w:pStyle w:val="Heading2"/>
      </w:pPr>
      <w:r>
        <w:t>Slide 37 — Generative AI Weaknesses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Confabulation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Fluent output can be unsupported or wrong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Variability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Prompt and sampling changes alter results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Provenance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Output may not reveal which source supported a claim</w:t>
            </w:r>
          </w:p>
        </w:tc>
      </w:tr>
    </w:tbl>
    <w:p>
      <w:r>
        <w:br w:type="page"/>
      </w:r>
    </w:p>
    <w:p>
      <w:pPr>
        <w:pStyle w:val="Heading2"/>
      </w:pPr>
      <w:r>
        <w:t>Slide 38 — Generative AI Security Exposure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Surface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Failure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Impact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Prompt/context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Instruction hijack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Wrong or disclosed output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Training/RAG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Poisoning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Biased or attacker-shaped answers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Output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Unsafe downstream handling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Code, data or browser impact</w:t>
            </w:r>
          </w:p>
        </w:tc>
      </w:tr>
    </w:tbl>
    <w:p>
      <w:pPr>
        <w:spacing w:after="80"/>
      </w:pPr>
    </w:p>
    <w:p>
      <w:pPr>
        <w:pStyle w:val="Heading2"/>
      </w:pPr>
      <w:r>
        <w:t>Slide 39 — Agentic AI — Course Definition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Goal-directed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Works toward an objective across steps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Iterative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Observes results and adjusts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System property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Agency comes from the model plus orchestration and authority</w:t>
            </w:r>
          </w:p>
        </w:tc>
      </w:tr>
    </w:tbl>
    <w:p>
      <w:r>
        <w:br w:type="page"/>
      </w:r>
    </w:p>
    <w:p>
      <w:pPr>
        <w:pStyle w:val="Heading2"/>
      </w:pPr>
      <w:r>
        <w:t>Slide 40 — The Plan–Act–Observe Loop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Interpret goal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Plan next step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Use tool or act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Observe result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Continue or stop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 compromised objective can influence every later turn of the loop.</w:t>
            </w:r>
          </w:p>
        </w:tc>
      </w:tr>
    </w:tbl>
    <w:p>
      <w:pPr>
        <w:spacing w:after="80"/>
      </w:pPr>
    </w:p>
    <w:p>
      <w:pPr>
        <w:pStyle w:val="Heading2"/>
      </w:pPr>
      <w:r>
        <w:t>Slide 41 — Autonomy Is a Spectrum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Suggest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Prepare for approval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Act within hard bounds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Act broadly with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Risk assessment should set autonomy by impact, reversibility, data sensitivity and tool reach.</w:t>
            </w:r>
          </w:p>
        </w:tc>
      </w:tr>
    </w:tbl>
    <w:p>
      <w:r>
        <w:br w:type="page"/>
      </w:r>
    </w:p>
    <w:p>
      <w:pPr>
        <w:pStyle w:val="Heading2"/>
      </w:pPr>
      <w:r>
        <w:t>Slide 42 — Agentic AI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Multi-step work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Decompose a goal into linked actions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Adaptation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 observations to change the plan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Orchestration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Coordinate models, tools and specialised agents</w:t>
            </w:r>
          </w:p>
        </w:tc>
      </w:tr>
    </w:tbl>
    <w:p>
      <w:pPr>
        <w:spacing w:after="80"/>
      </w:pPr>
    </w:p>
    <w:p>
      <w:pPr>
        <w:pStyle w:val="Heading2"/>
      </w:pPr>
      <w:r>
        <w:t>Slide 43 — Agentic AI Weaknesses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Compounding error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One mistake shapes later observations and plans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Runaway use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Loops consume time, tokens and tool capacity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Opaque sequence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plausible final answer can hide a harmful path</w:t>
            </w:r>
          </w:p>
        </w:tc>
      </w:tr>
    </w:tbl>
    <w:p>
      <w:r>
        <w:br w:type="page"/>
      </w:r>
    </w:p>
    <w:p>
      <w:pPr>
        <w:pStyle w:val="Heading2"/>
      </w:pPr>
      <w:r>
        <w:t>Slide 44 — Agentic AI Security Exposure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Agentic property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Risk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Control direction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Goal pursuit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Goal hijack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Bind goal and stop conditions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 choice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 misuse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Allowlist and validate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Delegation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Cascade/inter-agent spoofing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Authenticate and limit fan-out</w:t>
            </w:r>
          </w:p>
        </w:tc>
      </w:tr>
    </w:tbl>
    <w:p>
      <w:pPr>
        <w:spacing w:after="80"/>
      </w:pPr>
    </w:p>
    <w:p>
      <w:pPr>
        <w:pStyle w:val="Heading2"/>
      </w:pPr>
      <w:r>
        <w:t>Slide 45 — AI Agent — Course Definition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Concrete system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deployed software entity, not just a model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 and observation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Receives environment feedback and may retain context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Acts through tools, identities and policies</w:t>
            </w:r>
          </w:p>
        </w:tc>
      </w:tr>
    </w:tbl>
    <w:p>
      <w:r>
        <w:br w:type="page"/>
      </w:r>
    </w:p>
    <w:p>
      <w:pPr>
        <w:pStyle w:val="Heading2"/>
      </w:pPr>
      <w:r>
        <w:t>Slide 46 — The Agent as a Whole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Mind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Model, instructions and planning loop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Context, retrieval and memory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Hands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Tools, identity, runtime and network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Accountability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Owners, approvers, users and operators</w:t>
            </w:r>
          </w:p>
        </w:tc>
      </w:tr>
    </w:tbl>
    <w:p>
      <w:pPr>
        <w:spacing w:after="80"/>
      </w:pPr>
    </w:p>
    <w:p>
      <w:pPr>
        <w:pStyle w:val="Heading2"/>
      </w:pPr>
      <w:r>
        <w:t>Slide 47 — Instructions and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Trusted intent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System policy and authorised user objective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Untrusted content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Files, mail, web, tool output and context files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Core weakness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Selected or retrieved sources can become model-readable context</w:t>
            </w:r>
          </w:p>
        </w:tc>
      </w:tr>
    </w:tbl>
    <w:p>
      <w:r>
        <w:br w:type="page"/>
      </w:r>
    </w:p>
    <w:p>
      <w:pPr>
        <w:pStyle w:val="Heading2"/>
      </w:pPr>
      <w:r>
        <w:t>Slide 48 — Retrieval and Memory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Security concern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Prompt context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Current turn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Injection and leakage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RAG corpus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External knowledge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Poisoning and access control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Persistent memory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Cross-session state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Durable manipulation and privacy</w:t>
            </w:r>
          </w:p>
        </w:tc>
      </w:tr>
    </w:tbl>
    <w:p>
      <w:pPr>
        <w:spacing w:after="80"/>
      </w:pPr>
    </w:p>
    <w:p>
      <w:pPr>
        <w:pStyle w:val="Heading2"/>
      </w:pPr>
      <w:r>
        <w:t>Slide 49 — Recommended Tool-Execution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Model proposes intent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Policy checks identity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Schema constrains parameters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Tool executes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Result is logged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identity and policy layer—not model confidence—defines authority.</w:t>
            </w:r>
          </w:p>
        </w:tc>
      </w:tr>
    </w:tbl>
    <w:p>
      <w:r>
        <w:br w:type="page"/>
      </w:r>
    </w:p>
    <w:p>
      <w:pPr>
        <w:pStyle w:val="Heading2"/>
      </w:pPr>
      <w:r>
        <w:t>Slide 50 — Runtime, Network, and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Runtime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Local host, container, VM or managed service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Network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Inbound channels and outbound destinations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Feedback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 results and environment state become new input</w:t>
            </w:r>
          </w:p>
        </w:tc>
      </w:tr>
    </w:tbl>
    <w:p>
      <w:pPr>
        <w:spacing w:after="80"/>
      </w:pPr>
    </w:p>
    <w:p>
      <w:pPr>
        <w:pStyle w:val="Heading2"/>
      </w:pPr>
      <w:r>
        <w:t>Slide 51 — AI-Agent Strengths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Completion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Carry a task across applications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Optional persistence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Where configured, resume or schedule work over time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Specialisation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Delegate subtasks to tools or other agents</w:t>
            </w:r>
          </w:p>
        </w:tc>
      </w:tr>
    </w:tbl>
    <w:p>
      <w:r>
        <w:br w:type="page"/>
      </w:r>
    </w:p>
    <w:p>
      <w:pPr>
        <w:pStyle w:val="Heading2"/>
      </w:pPr>
      <w:r>
        <w:t>Slide 52 — AI-Agent Weaknesses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Blast radius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Compromise inherits delegated authority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Hidden state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 and intermediate actions complicate review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Responsibility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Multiple providers and operators can obscure ownership</w:t>
            </w:r>
          </w:p>
        </w:tc>
      </w:tr>
    </w:tbl>
    <w:p>
      <w:pPr>
        <w:spacing w:after="80"/>
      </w:pPr>
    </w:p>
    <w:p>
      <w:pPr>
        <w:pStyle w:val="Heading2"/>
      </w:pPr>
      <w:r>
        <w:t>Slide 53 — AI-Agent Security Exposure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Axis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Exposure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Potential effect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Injection/jailbreak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Changed goal or output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Token/tool misuse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Unauthorised action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Runtime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Code/network/supply chain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Host impact or exfiltration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 poisoning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Persistent behaviour change</w:t>
            </w:r>
          </w:p>
        </w:tc>
      </w:tr>
    </w:tbl>
    <w:p>
      <w:r>
        <w:br w:type="page"/>
      </w:r>
    </w:p>
    <w:p>
      <w:pPr>
        <w:pStyle w:val="Heading2"/>
      </w:pPr>
      <w:r>
        <w:t>Slide 54 — Three Overlapping Operating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Generative layer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Agentic pattern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Deployed agent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Primary role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Create content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Pursue goals iteratively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Operate as a concrete actor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Context-dependent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Loop state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May persist memory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None inherent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Configuration-dependent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Defined by tools and identity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These layers can coexist in one product; they are not mutually exclusive species.</w:t>
            </w:r>
          </w:p>
        </w:tc>
      </w:tr>
    </w:tbl>
    <w:p>
      <w:pPr>
        <w:spacing w:after="80"/>
      </w:pPr>
    </w:p>
    <w:p>
      <w:pPr>
        <w:pStyle w:val="Heading2"/>
      </w:pPr>
      <w:r>
        <w:t>Slide 55 — Same Model, Different Risk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Chat configuration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Agent configuration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Reads one prompt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Reads external sources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Returns text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Loops and calls tools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executes any action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System executes within delegated authority</w:t>
            </w:r>
          </w:p>
        </w:tc>
      </w:tr>
    </w:tbl>
    <w:p>
      <w:r>
        <w:br w:type="page"/>
      </w:r>
    </w:p>
    <w:p>
      <w:pPr>
        <w:pStyle w:val="Heading2"/>
      </w:pPr>
      <w:r>
        <w:t>Slide 56 — Which Operating Layers Are Present?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Does it mainly generate?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Does it iterate toward a goal?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Does it maintain state?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Can it call tools?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What authority is delegated?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Classify observable architecture and permissions, not the product label.</w:t>
            </w:r>
          </w:p>
        </w:tc>
      </w:tr>
    </w:tbl>
    <w:p>
      <w:r>
        <w:br w:type="page"/>
      </w:r>
    </w:p>
    <w:p>
      <w:pPr>
        <w:pStyle w:val="Heading1"/>
      </w:pPr>
      <w:r>
        <w:t>Products Are Configurations, Not Risk Labels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Compare capability, deployment and authority—not brand reputation.</w:t>
      </w:r>
    </w:p>
    <w:p>
      <w:pPr>
        <w:pStyle w:val="Heading2"/>
      </w:pPr>
      <w:r>
        <w:t>Slide 58 — Examples Across Three Overlapping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Operating layer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Decisive property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Generative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Draft or summarise on request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Returns content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Agentic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Plan, retry and route tools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Iterates toward a goal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Deployed agent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OpenClaw or Hermes deployment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Concrete runtime with tools and identity</w:t>
            </w:r>
          </w:p>
        </w:tc>
      </w:tr>
    </w:tbl>
    <w:p>
      <w:pPr>
        <w:spacing w:after="80"/>
      </w:pPr>
    </w:p>
    <w:p>
      <w:pPr>
        <w:pStyle w:val="Heading2"/>
      </w:pPr>
      <w:r>
        <w:t>Slide 59 — Model vs Application vs Harness vs Agent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Model generates or scores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Application supplies 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Harness orchestrates state/tools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Agent acts in an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Model choice alone does not reveal filesystem, network or credential exposure.</w:t>
            </w:r>
          </w:p>
        </w:tc>
      </w:tr>
    </w:tbl>
    <w:p>
      <w:r>
        <w:br w:type="page"/>
      </w:r>
    </w:p>
    <w:p>
      <w:pPr>
        <w:pStyle w:val="Heading2"/>
      </w:pPr>
      <w:r>
        <w:t>Slide 60 — Four Common Deployment Patterns (May Overlap)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Deployment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Primary review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Hosted SaaS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Provider plus tenant controls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Data terms and workspace settings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Local CLI/desktop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User account and host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Filesystem, shell and secrets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Self-hosted gateway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Organisation runtime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Network, identity and isolation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Embedded enterprise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Application and service accounts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API scopes and transaction controls</w:t>
            </w:r>
          </w:p>
        </w:tc>
      </w:tr>
    </w:tbl>
    <w:p>
      <w:pPr>
        <w:spacing w:after="80"/>
      </w:pPr>
    </w:p>
    <w:p>
      <w:pPr>
        <w:pStyle w:val="Heading2"/>
      </w:pPr>
      <w:r>
        <w:t>Slide 61 — OpenClaw — Documented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Gateway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Connects channels, sessions and tools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Host state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Configuration and credentials live under the runtime state directory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Trust model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Documentation assumes one trusted operator boundary per gateway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As-of 20 Aug 2026; re-check before publication.</w:t>
            </w:r>
          </w:p>
        </w:tc>
      </w:tr>
    </w:tbl>
    <w:p>
      <w:r>
        <w:br w:type="page"/>
      </w:r>
    </w:p>
    <w:p>
      <w:pPr>
        <w:pStyle w:val="Heading2"/>
      </w:pPr>
      <w:r>
        <w:t>Slide 62 — OpenClaw — Documented Security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Documented control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Residual concern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Senders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Allowlists and pairing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Within one trusted-operator boundary, allowed users share delegated authority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Gateway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Audit and scoped configuration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Operator credentials are sensitive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Deny high-risk tools for untrusted content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Node execution can affect a paired host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controls depend on the gateway, channel, tools and host configuration.</w:t>
            </w:r>
          </w:p>
        </w:tc>
      </w:tr>
    </w:tbl>
    <w:p>
      <w:pPr>
        <w:spacing w:after="80"/>
      </w:pPr>
    </w:p>
    <w:p>
      <w:pPr>
        <w:pStyle w:val="Heading2"/>
      </w:pPr>
      <w:r>
        <w:t>Slide 63 — Hermes Agent — Documented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S18 — Hermes Agent documentation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Entry points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CLI, gateway, API and library modes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Persistent memory, skills and project context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Built-in tools, MCP and multiple execution backends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As-of 20 Aug 2026; re-check before publication.</w:t>
            </w:r>
          </w:p>
        </w:tc>
      </w:tr>
    </w:tbl>
    <w:p>
      <w:r>
        <w:br w:type="page"/>
      </w:r>
    </w:p>
    <w:p>
      <w:pPr>
        <w:pStyle w:val="Heading2"/>
      </w:pPr>
      <w:r>
        <w:t>Slide 64 — Hermes Agent — Documented Security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Authorisation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Control who can interact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Allowlist and DM pairing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Execution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Constrain dangerous operations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Approval and container isolation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Context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Reduce malicious project instructions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Context-file scanning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permanent approvals, permissive modes and execution backend alter exposure.</w:t>
            </w:r>
          </w:p>
        </w:tc>
      </w:tr>
    </w:tbl>
    <w:p>
      <w:pPr>
        <w:spacing w:after="80"/>
      </w:pPr>
    </w:p>
    <w:p>
      <w:pPr>
        <w:pStyle w:val="Heading2"/>
      </w:pPr>
      <w:r>
        <w:t>Slide 65 — Claude Code — Capability and Authority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S20 — Anthropic — Claude Code sandboxing, S29 — Anthropic Model Context Protocol overview, S43 — Anthropic — Claude Code permission modes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Local context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Reads project files within configured access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Terminal and MCP expand capability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Permissions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Allowed/disallowed tools and permission modes affect authority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sandbox and permission mode are configuration-specific. A bypass flag is not a recommended default.</w:t>
            </w:r>
          </w:p>
        </w:tc>
      </w:tr>
    </w:tbl>
    <w:p>
      <w:r>
        <w:br w:type="page"/>
      </w:r>
    </w:p>
    <w:p>
      <w:pPr>
        <w:pStyle w:val="Heading2"/>
      </w:pPr>
      <w:r>
        <w:t>Slide 66 — Codex — Capability Depends on Surface and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S21 — OpenAI — Codex sandboxing, S22 — OpenAI — agent approvals and security, S30 — OpenAI — Codex cloud internet access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Workspace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Supported local configurations can bound writes to an authorised workspace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Approval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Access outside the boundary or consequential actions can require approval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Network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Cloud internet access is separately configurable and changes injection and exfiltration exposure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As-of 20 Aug 2026; cite the exact deployed Codex surface and settings.</w:t>
            </w:r>
          </w:p>
        </w:tc>
      </w:tr>
    </w:tbl>
    <w:p>
      <w:pPr>
        <w:spacing w:after="80"/>
      </w:pPr>
    </w:p>
    <w:p>
      <w:pPr>
        <w:pStyle w:val="Heading2"/>
      </w:pPr>
      <w:r>
        <w:t>Slide 67 — ChatGPT Chat and ChatGPT Work — Current Surfaces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S22 — OpenAI — agent approvals and security, S28 — OpenAI — skills and plugins, S32 — OpenAI — ChatGPT Work overview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Work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Conversational exploration and generation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Supports multi-step work with authorised files, apps and tools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 depends on enabled tools and context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Local/cloud surface, member permissions and admin policy define the boundary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feature availability and authority depend on plan, workspace and enabled tools.</w:t>
            </w:r>
          </w:p>
        </w:tc>
      </w:tr>
    </w:tbl>
    <w:p>
      <w:r>
        <w:br w:type="page"/>
      </w:r>
    </w:p>
    <w:p>
      <w:pPr>
        <w:pStyle w:val="Heading2"/>
      </w:pPr>
      <w:r>
        <w:t>Slide 68 — DeepSeek Model vs DeepSeek Harness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S23 — DeepSeek-V3 official repository and model card, S36 — DeepSeek Harness — official developer-preview repository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DeepSeek-V3 model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Model card describes weights and inference; it does not define host authority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DeepSeek Harness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Official repository labels dsh a developer preview with plugin-oriented architecture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Security decision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Treat production controls as unknown until the exact version and configuration are verified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model and harness are different layers. Do not import permissions or sandbox claims from one to the other.</w:t>
            </w:r>
          </w:p>
        </w:tc>
      </w:tr>
    </w:tbl>
    <w:p>
      <w:pPr>
        <w:spacing w:after="80"/>
      </w:pPr>
    </w:p>
    <w:p>
      <w:pPr>
        <w:pStyle w:val="Heading2"/>
      </w:pPr>
      <w:r>
        <w:t>Slide 69 — Prime Agent and QM — Documented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S34 — Prime Intellect — Prime Agent repository and launch documentation, S35 — QM — official repository and security policy, S45 — QM — official repository README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Prime Agent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Persistent coding/research harness; its documentation says the kernel is not a security sandbox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QM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Early organisational-agent harness with durable sandboxes, memory, skills and documented security limitations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Deployment gate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Verify exact version, host, command posture, egress, credentials and external containment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first-party documentation describes capabilities and limitations, not independent assurance or a safety ranking.</w:t>
            </w:r>
          </w:p>
        </w:tc>
      </w:tr>
    </w:tbl>
    <w:p>
      <w:r>
        <w:br w:type="page"/>
      </w:r>
    </w:p>
    <w:p>
      <w:pPr>
        <w:pStyle w:val="Heading2"/>
      </w:pPr>
      <w:r>
        <w:t>Slide 70 — Eight Products — Runtime and Review Focus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S18 — Hermes Agent documentation, S20 — Anthropic — Claude Code sandboxing, S21 — OpenAI — Codex sandboxing, S22 — OpenAI — agent approvals and security, S32 — OpenAI — ChatGPT Work overview, S34 — Prime Intellect — Prime Agent repository and launch documentation, S35 — QM — official repository and security policy, S36 — DeepSeek Harness — official developer-preview repository, S45 — QM — official repository README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Product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Documented runtime emphasis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Primary review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OpenClaw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Self-hosted gateway, channels and tools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Trusted operator, host and tool policy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Hermes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CLI/gateway/API with selectable execution backends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Approvals, backend, memory and MCP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Prime Agent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Persistent Python, skills, subagents and schedules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External isolation and user OS permissions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QM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Organisational harness with durable scoped sandboxes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Permission mode, keys and egress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DeepSeek Harness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Developer-preview plugin harness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Exact commit, plugins, listener and host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Claude Code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Repository-aware coding agent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Sandbox, terminal/MCP and permission mode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Codex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Local and cloud surfaces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Workspace, approval and network mode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ChatGPT / Work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Chat plus authorised files/apps/tools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Local/cloud surface and admin policy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documented capability is not a safety score.</w:t>
            </w:r>
          </w:p>
        </w:tc>
      </w:tr>
    </w:tbl>
    <w:p>
      <w:pPr>
        <w:spacing w:after="80"/>
      </w:pPr>
    </w:p>
    <w:p>
      <w:pPr>
        <w:pStyle w:val="Heading2"/>
      </w:pPr>
      <w:r>
        <w:t>Slide 71 — OpenClaw vs Hermes — Gateway and Execution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S18 — Hermes Agent documentation,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OpenClaw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Hermes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One trusted-operator gateway boundary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CLI, gateway, API and library entry points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Channels, tools, nodes and runtime state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Memory, skills, MCP and multiple execution backends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Sandboxing and exposure depend on configuration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Approvals and backend choice change authority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compare deployments, not brand names.</w:t>
            </w:r>
          </w:p>
        </w:tc>
      </w:tr>
    </w:tbl>
    <w:p>
      <w:r>
        <w:br w:type="page"/>
      </w:r>
    </w:p>
    <w:p>
      <w:pPr>
        <w:pStyle w:val="Heading2"/>
      </w:pPr>
      <w:r>
        <w:t>Slide 72 — Prime Agent vs QM — Persistence and Permission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S34 — Prime Intellect — Prime Agent repository and launch documentation, S35 — QM — official repository and security policy, S45 — QM — official repository README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Prime Agent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QM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Persistent Python, subagents and schedules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Durable per-scope sandbox, memory and files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Model-generated Python and commands execute with the launching user's OS permissions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Strict, Auto and Dangerous permission modes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Kernel is not a security sandbox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Early software with documented limitations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external containment and selected mode are part of the risk decision.</w:t>
            </w:r>
          </w:p>
        </w:tc>
      </w:tr>
    </w:tbl>
    <w:p>
      <w:pPr>
        <w:spacing w:after="80"/>
      </w:pPr>
    </w:p>
    <w:p>
      <w:pPr>
        <w:pStyle w:val="Heading2"/>
      </w:pPr>
      <w:r>
        <w:t>Slide 73 — DeepSeek Harness vs Claude Code — Plugin and Repository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S20 — Anthropic — Claude Code sandboxing, S29 — Anthropic Model Context Protocol overview, S36 — DeepSeek Harness — official developer-preview repository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DeepSeek Harness (dsh)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Claude Code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Official developer preview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Repository-aware coding workflow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Plugin-oriented harness and local UI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Terminal and MCP capability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Production control baseline not verified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Sandbox and permission mode affect authority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assess the exact version and enabled extensions.</w:t>
            </w:r>
          </w:p>
        </w:tc>
      </w:tr>
    </w:tbl>
    <w:p>
      <w:r>
        <w:br w:type="page"/>
      </w:r>
    </w:p>
    <w:p>
      <w:pPr>
        <w:pStyle w:val="Heading2"/>
      </w:pPr>
      <w:r>
        <w:t>Slide 74 — Codex vs ChatGPT Work — Workspace and Tool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S21 — OpenAI — Codex sandboxing, S22 — OpenAI — agent approvals and security, S30 — OpenAI — Codex cloud internet access, S32 — OpenAI — ChatGPT Work overview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Codex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ChatGPT Work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Local/cloud coding surfaces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Multi-step local/cloud work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Workspace sandbox and approvals vary by mode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Uses authorised files, apps and tools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Internet access is separately configurable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Member permissions and admin policy shape effects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state the product surface and mode before comparing risk.</w:t>
            </w:r>
          </w:p>
        </w:tc>
      </w:tr>
    </w:tbl>
    <w:p>
      <w:pPr>
        <w:spacing w:after="80"/>
      </w:pPr>
    </w:p>
    <w:p>
      <w:pPr>
        <w:pStyle w:val="Heading2"/>
      </w:pPr>
      <w:r>
        <w:t>Slide 75 — Extension and Persistence Questions Across All Eight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S18 — Hermes Agent documentation, S28 — OpenAI — skills and plugins, S29 — Anthropic Model Context Protocol overview, S34 — Prime Intellect — Prime Agent repository and launch documentation, S35 — QM — official repository and security policy, S36 — DeepSeek Harness — official developer-preview repository, S45 — QM — official repository README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Axis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What to verify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Why it matters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Skills/plugins/MCP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Publisher, code, instructions, scopes and update channel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Extensions can add data and action paths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Memory/schedules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Where supported, provenance, retention and revocation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State can outlive the initiating turn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Credentials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Identity, scope, lifetime and storage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Compromise inherits delegated authority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Network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Inbound triggers and outbound destinations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Reach defines trigger and exfiltration paths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Not documented means unknown—not absent.</w:t>
            </w:r>
          </w:p>
        </w:tc>
      </w:tr>
    </w:tbl>
    <w:p>
      <w:r>
        <w:br w:type="page"/>
      </w:r>
    </w:p>
    <w:p>
      <w:pPr>
        <w:pStyle w:val="Heading2"/>
      </w:pPr>
      <w:r>
        <w:t>Slide 76 — Product Evidence Gate Before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Pin product/version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Name runtime and host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Inventory data/tools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Verify approval/logging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Record unknowns and re-test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Re-check documentation at change or publication; no product receives a universal green/red score.</w:t>
            </w:r>
          </w:p>
        </w:tc>
      </w:tr>
    </w:tbl>
    <w:p>
      <w:pPr>
        <w:spacing w:after="80"/>
      </w:pPr>
    </w:p>
    <w:p>
      <w:pPr>
        <w:pStyle w:val="Heading2"/>
      </w:pPr>
      <w:r>
        <w:t>Slide 77 — Select by Use Case and Risk 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Classify impact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Classify data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Identify actions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Assess reversibility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Choose bounded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 higher-capability product is acceptable only when its authority and evidence fit the risk.</w:t>
            </w:r>
          </w:p>
        </w:tc>
      </w:tr>
    </w:tbl>
    <w:p>
      <w:r>
        <w:br w:type="page"/>
      </w:r>
    </w:p>
    <w:p>
      <w:pPr>
        <w:pStyle w:val="Heading1"/>
      </w:pPr>
      <w:r>
        <w:t>Threat Modelling AI Systems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Follow content to authority, effect and evidence.</w:t>
      </w:r>
    </w:p>
    <w:p>
      <w:pPr>
        <w:pStyle w:val="Heading2"/>
      </w:pPr>
      <w:r>
        <w:t>Slide 80 — Classical Security Still Applies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Identity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Authenticate users, services and agents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Systems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Patch, segment and harden hosts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Log, detect, respond and recover</w:t>
            </w:r>
          </w:p>
        </w:tc>
      </w:tr>
    </w:tbl>
    <w:p>
      <w:pPr>
        <w:spacing w:after="80"/>
      </w:pPr>
    </w:p>
    <w:p>
      <w:pPr>
        <w:pStyle w:val="Heading2"/>
      </w:pPr>
      <w:r>
        <w:t>Slide 81 — What AI Adds or Amplifies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Conventional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AI-specific/amplified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Software vulnerabilities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Instruction/data confusion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Credential theft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Poisoned context and memory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Supply-chain compromise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Probabilistic plans driving tools</w:t>
            </w:r>
          </w:p>
        </w:tc>
      </w:tr>
    </w:tbl>
    <w:p>
      <w:r>
        <w:br w:type="page"/>
      </w:r>
    </w:p>
    <w:p>
      <w:pPr>
        <w:pStyle w:val="Heading2"/>
      </w:pPr>
      <w:r>
        <w:t>Slide 82 — Threat Actors and Their Access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External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Users, senders and web publishers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Internal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Staff, admins and data curators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Supply chain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Model, plugin, skill, MCP and package publishers</w:t>
            </w:r>
          </w:p>
        </w:tc>
      </w:tr>
    </w:tbl>
    <w:p>
      <w:pPr>
        <w:spacing w:after="80"/>
      </w:pPr>
    </w:p>
    <w:p>
      <w:pPr>
        <w:pStyle w:val="Heading2"/>
      </w:pPr>
      <w:r>
        <w:t>Slide 83 — Assets Worth Protecting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Data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Personal data, prompts, files, memory and logs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Authority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Tokens, permissions, tools and approvals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Decisions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Outputs, actions, provenance and audit evidence</w:t>
            </w:r>
          </w:p>
        </w:tc>
      </w:tr>
    </w:tbl>
    <w:p>
      <w:r>
        <w:br w:type="page"/>
      </w:r>
    </w:p>
    <w:p>
      <w:pPr>
        <w:pStyle w:val="Heading2"/>
      </w:pPr>
      <w:r>
        <w:t>Slide 84 — Trust Boundaries in a GenAI Application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User/channel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Application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Model provider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Retrieval source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Output consumer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Annotate who controls each boundary and which data crosses it.</w:t>
            </w:r>
          </w:p>
        </w:tc>
      </w:tr>
    </w:tbl>
    <w:p>
      <w:pPr>
        <w:spacing w:after="80"/>
      </w:pPr>
    </w:p>
    <w:p>
      <w:pPr>
        <w:pStyle w:val="Heading2"/>
      </w:pPr>
      <w:r>
        <w:t>Slide 85 — Trust Boundaries in an AI Agent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Untrusted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Planner and memory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Policy/identity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Tool/runtime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Network/environment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agent adds persistent state and action paths to the model boundary.</w:t>
            </w:r>
          </w:p>
        </w:tc>
      </w:tr>
    </w:tbl>
    <w:p>
      <w:r>
        <w:br w:type="page"/>
      </w:r>
    </w:p>
    <w:p>
      <w:pPr>
        <w:pStyle w:val="Heading2"/>
      </w:pPr>
      <w:r>
        <w:t>Slide 86 — Treat Every Content Source as Untrusted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S12 — OWASP Top 10 for Agentic Applications 2026, S17 — OpenClaw Gateway Security,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content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Prompts, email, chat and documents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Machine content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Web, APIs and tool output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Project content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Memory, context files, skills, plugins and MCP metadata</w:t>
            </w:r>
          </w:p>
        </w:tc>
      </w:tr>
    </w:tbl>
    <w:p>
      <w:pPr>
        <w:spacing w:after="80"/>
      </w:pPr>
    </w:p>
    <w:p>
      <w:pPr>
        <w:pStyle w:val="Heading2"/>
      </w:pPr>
      <w:r>
        <w:t>Slide 87 — Follow the Authority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Attacker controls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Model interprets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Planner selects action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Policy permits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Tool creates effect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Break the path with deterministic controls as close to the effect as possible.</w:t>
            </w:r>
          </w:p>
        </w:tc>
      </w:tr>
    </w:tbl>
    <w:p>
      <w:r>
        <w:br w:type="page"/>
      </w:r>
    </w:p>
    <w:p>
      <w:pPr>
        <w:pStyle w:val="Heading2"/>
      </w:pPr>
      <w:r>
        <w:t>Slide 88 — Threat-Modelling Method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S13 — MITRE ATLAS,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Scope use case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Map data and components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Mark trust boundaries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Write abuse cases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Select and test controls</w:t>
      </w:r>
    </w:p>
    <w:p>
      <w:pPr>
        <w:pStyle w:val="Heading2"/>
      </w:pPr>
      <w:r>
        <w:t>Slide 89 — Attack Surface by Operating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Surface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Generative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Agentic</w:t>
            </w:r>
          </w:p>
        </w:tc>
        <w:tc>
          <w:tcPr>
            <w:tcW w:type="dxa" w:w="216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Agent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Input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Prompt/context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Goal and observations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Channels, files, web</w:t>
            </w:r>
          </w:p>
        </w:tc>
      </w:tr>
      <w:tr>
        <w:trPr>
          <w:cantSplit/>
        </w:trPr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Context window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Loop state</w:t>
            </w:r>
          </w:p>
        </w:tc>
        <w:tc>
          <w:tcPr>
            <w:tcW w:type="dxa" w:w="216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RAG and persistent memory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Effect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Output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Plan/tool selection</w:t>
            </w:r>
          </w:p>
        </w:tc>
        <w:tc>
          <w:tcPr>
            <w:tcW w:type="dxa" w:w="216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Real system action</w:t>
            </w:r>
          </w:p>
        </w:tc>
      </w:tr>
    </w:tbl>
    <w:p>
      <w:r>
        <w:br w:type="page"/>
      </w:r>
    </w:p>
    <w:p>
      <w:pPr>
        <w:pStyle w:val="Heading2"/>
      </w:pPr>
      <w:r>
        <w:t>Slide 90 — A Complete Attack Chain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S13 — MITRE ATLAS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Deliver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Interpret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Plan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Authorise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Execute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6.  </w:t>
      </w:r>
      <w:r>
        <w:rPr>
          <w:rFonts w:ascii="Arial" w:hAnsi="Arial"/>
          <w:color w:val="111827"/>
          <w:sz w:val="21"/>
        </w:rPr>
        <w:t>Persist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7.  </w:t>
      </w:r>
      <w:r>
        <w:rPr>
          <w:rFonts w:ascii="Arial" w:hAnsi="Arial"/>
          <w:color w:val="111827"/>
          <w:sz w:val="21"/>
        </w:rPr>
        <w:t>Impact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Record evidence and a feasible control at every stage.</w:t>
            </w:r>
          </w:p>
        </w:tc>
      </w:tr>
    </w:tbl>
    <w:p>
      <w:pPr>
        <w:spacing w:after="80"/>
      </w:pPr>
    </w:p>
    <w:p>
      <w:pPr>
        <w:pStyle w:val="Heading2"/>
      </w:pPr>
      <w:r>
        <w:t>Slide 91 — Activity 1 — Concierge Threat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Map three input channels, four retrieval sources and four tools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Mark attacker-writable content and personal-data paths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Recommend proceed, conditional proceed or halt</w:t>
      </w:r>
    </w:p>
    <w:p>
      <w:r>
        <w:br w:type="page"/>
      </w:r>
    </w:p>
    <w:p>
      <w:pPr>
        <w:pStyle w:val="Heading2"/>
      </w:pPr>
      <w:r>
        <w:t>Slide 92 — Activity 1 — Build the Data-Flow Diagram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Place channels and data owners on the left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Put model, retrieval and memory in the centre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Put tool actions and affected people on the right</w:t>
      </w:r>
    </w:p>
    <w:p>
      <w:pPr>
        <w:pStyle w:val="Heading2"/>
      </w:pPr>
      <w:r>
        <w:t>Slide 93 — Activity 1 — Rank Trust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Who can write the source?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What authority can follow from it?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How reversible is the effect?</w:t>
      </w:r>
    </w:p>
    <w:p>
      <w:r>
        <w:br w:type="page"/>
      </w:r>
    </w:p>
    <w:p>
      <w:pPr>
        <w:pStyle w:val="Heading2"/>
      </w:pPr>
      <w:r>
        <w:t>Slide 94 — Activity 1 — Design Abuse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One GenAI content failure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One agentic loop or goal failure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One tool/identity action failure</w:t>
      </w:r>
    </w:p>
    <w:p>
      <w:pPr>
        <w:pStyle w:val="Heading2"/>
      </w:pPr>
      <w:r>
        <w:t>Slide 95 — Activity 1 — Decide the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Rank controls by earliest break point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State latency, cost and user-friction trade-offs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Name evidence proving each control works</w:t>
      </w:r>
    </w:p>
    <w:p>
      <w:r>
        <w:br w:type="page"/>
      </w:r>
    </w:p>
    <w:p>
      <w:pPr>
        <w:pStyle w:val="Heading2"/>
      </w:pPr>
      <w:r>
        <w:t>Slide 96 — Day 1 Integrated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System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Primary exposure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Control direction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Generative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Content and disclosure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Constrain data access and downstream effect; validate before use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Agentic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Goal and loop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Stop conditions and budgets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Agent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Tools, identity, runtime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Least privilege, sandbox and approval</w:t>
            </w:r>
          </w:p>
        </w:tc>
      </w:tr>
    </w:tbl>
    <w:p>
      <w:pPr>
        <w:spacing w:after="80"/>
      </w:pPr>
    </w:p>
    <w:p>
      <w:pPr>
        <w:pStyle w:val="Heading2"/>
      </w:pPr>
      <w:r>
        <w:t>Slide 97 — Day 1 Recap — What Changed as AI Gained Agency?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Generate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Probability creates useful but fallible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Iterate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Loops compound decisions and cost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Tools and identity turn output into impact</w:t>
            </w:r>
          </w:p>
        </w:tc>
      </w:tr>
    </w:tbl>
    <w:p>
      <w:r>
        <w:br w:type="page"/>
      </w:r>
    </w:p>
    <w:p>
      <w:pPr>
        <w:pStyle w:val="Heading2"/>
      </w:pPr>
      <w:r>
        <w:t>Slide 98 — Day 2 Preview — From Attack to Assurance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Study attack mechanisms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Separate case evidence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Engineer hard controls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Govern and operate</w:t>
      </w:r>
    </w:p>
    <w:p>
      <w:r>
        <w:br w:type="page"/>
      </w:r>
    </w:p>
    <w:p>
      <w:pPr>
        <w:pStyle w:val="Heading1"/>
      </w:pPr>
      <w:r>
        <w:t>Day 2 — Attack, Defend, Govern, Operate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Cases make the mechanisms concrete; controls then become testable evidence.</w:t>
      </w:r>
    </w:p>
    <w:p>
      <w:pPr>
        <w:pStyle w:val="Heading2"/>
      </w:pPr>
      <w:r>
        <w:t>Slide 100 — Day 2 Dependency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Observe attack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Trace authority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Identify impact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Place controls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Prove and govern</w:t>
      </w:r>
    </w:p>
    <w:p>
      <w:r>
        <w:br w:type="page"/>
      </w:r>
    </w:p>
    <w:p>
      <w:pPr>
        <w:pStyle w:val="Heading1"/>
      </w:pPr>
      <w:r>
        <w:t>Prompt Injection and Jailbreaks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Distinguish changing application intent from bypassing model behaviour rules.</w:t>
      </w:r>
    </w:p>
    <w:p>
      <w:pPr>
        <w:pStyle w:val="Heading2"/>
      </w:pPr>
      <w:r>
        <w:t>Slide 102 — Prompt Engineering vs Prompt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Prompt engineering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Prompt injection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Authorised user shapes the requested output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Untrusted text changes instructions or data flow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Success serves the declared task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Success serves an attacker or unintended objective</w:t>
            </w:r>
          </w:p>
        </w:tc>
      </w:tr>
    </w:tbl>
    <w:p>
      <w:pPr>
        <w:spacing w:after="80"/>
      </w:pPr>
    </w:p>
    <w:p>
      <w:pPr>
        <w:pStyle w:val="Heading2"/>
      </w:pPr>
      <w:r>
        <w:t>Slide 103 — Direct Prompt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Delivery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Attacker writes into the user-facing prompt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Conflict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Text asks the model to ignore or reinterpret policy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Detect attempts and constrain downstream authority</w:t>
            </w:r>
          </w:p>
        </w:tc>
      </w:tr>
    </w:tbl>
    <w:p>
      <w:r>
        <w:br w:type="page"/>
      </w:r>
    </w:p>
    <w:p>
      <w:pPr>
        <w:pStyle w:val="Heading2"/>
      </w:pPr>
      <w:r>
        <w:t>Slide 104 — Indirect Prompt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S22 — OpenAI — agent approvals and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Delivery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Payload sits in email, file, page or other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Trigger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legitimate user asks the system to process it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Model may treat data as instructions</w:t>
            </w:r>
          </w:p>
        </w:tc>
      </w:tr>
    </w:tbl>
    <w:p>
      <w:pPr>
        <w:spacing w:after="80"/>
      </w:pPr>
    </w:p>
    <w:p>
      <w:pPr>
        <w:pStyle w:val="Heading2"/>
      </w:pPr>
      <w:r>
        <w:t>Slide 105 — Cross-Modal Prompt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Carrier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Image, audio or mixed-media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Recovery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OCR, vision or transcription exposes instruction text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Gap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text-only filter may never inspect the carrier</w:t>
            </w:r>
          </w:p>
        </w:tc>
      </w:tr>
    </w:tbl>
    <w:p>
      <w:r>
        <w:br w:type="page"/>
      </w:r>
    </w:p>
    <w:p>
      <w:pPr>
        <w:pStyle w:val="Heading2"/>
      </w:pPr>
      <w:r>
        <w:t>Slide 106 — Retrieval-Augmented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Attacker writes source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Indexer stores chunk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Retriever selects chunk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Model reads payload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Output/action is altered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Secure both who may write the corpus and what authority follows retrieval.</w:t>
            </w:r>
          </w:p>
        </w:tc>
      </w:tr>
    </w:tbl>
    <w:p>
      <w:pPr>
        <w:spacing w:after="80"/>
      </w:pPr>
    </w:p>
    <w:p>
      <w:pPr>
        <w:pStyle w:val="Heading2"/>
      </w:pPr>
      <w:r>
        <w:t>Slide 107 — Email and Document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Legitimate task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Summarise a supplier email or invoice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Hostile content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Quoted text requests data or a changed instruction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Boundary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Reader remains tool-free; sensitive actions use independent verification</w:t>
            </w:r>
          </w:p>
        </w:tc>
      </w:tr>
    </w:tbl>
    <w:p>
      <w:r>
        <w:br w:type="page"/>
      </w:r>
    </w:p>
    <w:p>
      <w:pPr>
        <w:pStyle w:val="Heading2"/>
      </w:pPr>
      <w:r>
        <w:t>Slide 108 — Web and Browser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S22 — OpenAI — agent approvals and security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Agent opens page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Page supplies adversarial 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Model interprets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Browser/app action is proposed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Policy blocks or confirms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Browsing expands the untrusted context continuously.</w:t>
            </w:r>
          </w:p>
        </w:tc>
      </w:tr>
    </w:tbl>
    <w:p>
      <w:pPr>
        <w:spacing w:after="80"/>
      </w:pPr>
    </w:p>
    <w:p>
      <w:pPr>
        <w:pStyle w:val="Heading2"/>
      </w:pPr>
      <w:r>
        <w:t>Slide 109 — Context-File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S18 — Hermes Agent documentation, S19 — Hermes Agent Security, S31 — OpenAI — AGENTS.md project instructions, S44 — Anthropic — Claude Code memory and CLAUDE.md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Discovery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Where configured, an agent discovers and loads project instruction files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Risk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cloned repository may author instructions that influence tool use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Inspect, scope and sandbox untrusted projects before tool use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loading rules are product- and configuration-specific.</w:t>
            </w:r>
          </w:p>
        </w:tc>
      </w:tr>
    </w:tbl>
    <w:p>
      <w:r>
        <w:br w:type="page"/>
      </w:r>
    </w:p>
    <w:p>
      <w:pPr>
        <w:pStyle w:val="Heading2"/>
      </w:pPr>
      <w:r>
        <w:t>Slide 110 — Tool-Output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Agent calls tool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Tool returns attacker-controlled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Content enters context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Planner changes course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Tool output is data, not trusted policy.</w:t>
            </w:r>
          </w:p>
        </w:tc>
      </w:tr>
    </w:tbl>
    <w:p>
      <w:pPr>
        <w:spacing w:after="80"/>
      </w:pPr>
    </w:p>
    <w:p>
      <w:pPr>
        <w:pStyle w:val="Heading2"/>
      </w:pPr>
      <w:r>
        <w:t>Slide 111 — Memory-Based Instruction Persistence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Injection succeeds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Summary or fact is saved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Session ends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Memory reloads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Future behaviour changes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Memory write policy and provenance are security controls.</w:t>
            </w:r>
          </w:p>
        </w:tc>
      </w:tr>
    </w:tbl>
    <w:p>
      <w:r>
        <w:br w:type="page"/>
      </w:r>
    </w:p>
    <w:p>
      <w:pPr>
        <w:pStyle w:val="Heading2"/>
      </w:pPr>
      <w:r>
        <w:t>Slide 112 — Jailbreak — Operational Definition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Objective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Bypass model or application behavioural restrictions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Method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Adversarial prompts, obfuscation or multi-turn pressure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Distinction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May not require changing a business task or calling a tool</w:t>
            </w:r>
          </w:p>
        </w:tc>
      </w:tr>
    </w:tbl>
    <w:p>
      <w:pPr>
        <w:spacing w:after="80"/>
      </w:pPr>
    </w:p>
    <w:p>
      <w:pPr>
        <w:pStyle w:val="Heading2"/>
      </w:pPr>
      <w:r>
        <w:t>Slide 113 — Jailbreak vs Prompt Injection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Jailbreak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Prompt injection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Target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Safety/behaviour restriction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Application instruction hierarchy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Typical carrier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User prompt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User or external content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Primary risk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Disallowed output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Changed task, disclosure or action</w:t>
            </w:r>
          </w:p>
        </w:tc>
      </w:tr>
    </w:tbl>
    <w:p>
      <w:r>
        <w:br w:type="page"/>
      </w:r>
    </w:p>
    <w:p>
      <w:pPr>
        <w:pStyle w:val="Heading2"/>
      </w:pPr>
      <w:r>
        <w:t>Slide 114 — Common Jailbreak Families — Course Synthesis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Framing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Roleplay or fictional authority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Obfuscation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Encoding, spacing or substitution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Composition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Split intent across turns or modalities</w:t>
            </w:r>
          </w:p>
        </w:tc>
      </w:tr>
    </w:tbl>
    <w:p>
      <w:pPr>
        <w:spacing w:after="80"/>
      </w:pPr>
    </w:p>
    <w:p>
      <w:pPr>
        <w:pStyle w:val="Heading2"/>
      </w:pPr>
      <w:r>
        <w:t>Slide 115 — Why Model Guardrails Are Necessary but Insufficient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Applications, S22 — OpenAI — agent approvals and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Useful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Block known patterns and create alert signals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Fallible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Novel phrasing and modalities can evade classifiers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Hard boundary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Policy, schema, least privilege and approval limit effects</w:t>
            </w:r>
          </w:p>
        </w:tc>
      </w:tr>
    </w:tbl>
    <w:p>
      <w:r>
        <w:br w:type="page"/>
      </w:r>
    </w:p>
    <w:p>
      <w:pPr>
        <w:pStyle w:val="Heading2"/>
      </w:pPr>
      <w:r>
        <w:t>Slide 116 — Case — EchoLeak: Verified Vulnerability, Not a Confirmed Breach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CASE-V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S25 — Aim Labs, EchoLeak research disclosure, S40 — Microsoft — EchoLeak security context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Attacker-controlled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Indirect prompt injection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Copilot context/data access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Exfiltration path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Vendor remediation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Aim/Microsoft sources accessed 20 Aug 2026; verified vulnerability, not confirmed exploitation or a breach.</w:t>
            </w:r>
          </w:p>
        </w:tc>
      </w:tr>
    </w:tbl>
    <w:p>
      <w:pPr>
        <w:spacing w:after="80"/>
      </w:pPr>
    </w:p>
    <w:p>
      <w:pPr>
        <w:pStyle w:val="Heading2"/>
      </w:pPr>
      <w:r>
        <w:t>Slide 117 — Published GitHub MCP Prompt-Injection Demonstration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CASE-R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S26 — Invariant Labs, GitHub MCP prompt-injection research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Malicious repository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Coding agent reads issue/context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MCP tools expose connected data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Unintended action/exfiltration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Researcher demonstration; source accessed 20 Aug 2026. Production exploitation is not established.</w:t>
            </w:r>
          </w:p>
        </w:tc>
      </w:tr>
    </w:tbl>
    <w:p>
      <w:r>
        <w:br w:type="page"/>
      </w:r>
    </w:p>
    <w:p>
      <w:pPr>
        <w:pStyle w:val="Heading2"/>
      </w:pPr>
      <w:r>
        <w:t>Slide 118 — Simulation — Employee Data Entered into Public GenAI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Employee pastes confidential data into an external service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Risk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Disclosure, retention and purpose may exceed policy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Approved service, minimisation, DLP and user training</w:t>
            </w:r>
          </w:p>
        </w:tc>
      </w:tr>
    </w:tbl>
    <w:p>
      <w:pPr>
        <w:spacing w:after="80"/>
      </w:pPr>
    </w:p>
    <w:p>
      <w:pPr>
        <w:pStyle w:val="Heading2"/>
      </w:pPr>
      <w:r>
        <w:t>Slide 119 — Governance Case — Moffatt v Air Canada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CASE-V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S27 — Moffatt v Air Canada, 2024 BCCRT 149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Chatbot supplied incorrect information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Customer relied on response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Organisation disputed responsibility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Tribunal held organisation responsible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Tribunal decision 2024 BCCRT 149; accessed 20 Aug 2026. Reliability/accountability case, not prompt injection or cyberattack.</w:t>
            </w:r>
          </w:p>
        </w:tc>
      </w:tr>
    </w:tbl>
    <w:p>
      <w:r>
        <w:br w:type="page"/>
      </w:r>
    </w:p>
    <w:p>
      <w:pPr>
        <w:pStyle w:val="Heading2"/>
      </w:pPr>
      <w:r>
        <w:t>Slide 120 — Incident, Demonstration, Evaluation, or Hypothetical?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Label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 threshold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How to speak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Incident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Observed production event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State confirmed scope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Demonstration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Reproduced attack path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State tested environment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Evaluation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Controlled model/system test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 not call it a breach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Simulation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Fictional teaching case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Label every number synthetic</w:t>
            </w:r>
          </w:p>
        </w:tc>
      </w:tr>
    </w:tbl>
    <w:p>
      <w:pPr>
        <w:spacing w:after="80"/>
      </w:pPr>
    </w:p>
    <w:p>
      <w:pPr>
        <w:pStyle w:val="Heading2"/>
      </w:pPr>
      <w:r>
        <w:t>Slide 121 — Activity 2 — Prompt-Injection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Trace an indirect payload through a synthetic claims workflow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Measure task success and attack success separately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Select the earliest deterministic control that breaks the chain</w:t>
      </w:r>
    </w:p>
    <w:p>
      <w:r>
        <w:br w:type="page"/>
      </w:r>
    </w:p>
    <w:p>
      <w:pPr>
        <w:pStyle w:val="Heading2"/>
      </w:pPr>
      <w:r>
        <w:t>Slide 122 — Activity 2 — Safe Harness and Test Boundaries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Use only invented records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Write to a local dummy log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Block live email, shell, payment and production database tools</w:t>
      </w:r>
    </w:p>
    <w:p>
      <w:pPr>
        <w:pStyle w:val="Heading2"/>
      </w:pPr>
      <w:r>
        <w:t>Slide 123 — Activity 2 — Establish a Clean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Run legitimate tasks without hostile content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Record expected output and permitted action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Measure false blocks before adversarial changes</w:t>
      </w:r>
    </w:p>
    <w:p>
      <w:r>
        <w:br w:type="page"/>
      </w:r>
    </w:p>
    <w:p>
      <w:pPr>
        <w:pStyle w:val="Heading2"/>
      </w:pPr>
      <w:r>
        <w:t>Slide 124 — Activity 2 — Test Controlled Variants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Direct wording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Indirect document or email wording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Split and cross-modal variants</w:t>
      </w:r>
    </w:p>
    <w:p>
      <w:pPr>
        <w:pStyle w:val="Heading2"/>
      </w:pPr>
      <w:r>
        <w:t>Slide 125 — Activity 2 — Add Hard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Restrict retrieval to the current case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Validate recipients and tool parameters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Require approval for sensitive disclosure or write action</w:t>
      </w:r>
    </w:p>
    <w:p>
      <w:r>
        <w:br w:type="page"/>
      </w:r>
    </w:p>
    <w:p>
      <w:pPr>
        <w:pStyle w:val="Heading2"/>
      </w:pPr>
      <w:r>
        <w:t>Slide 126 — Activity 2 — Read ASR and False Positives Together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Definition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Decision use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Attack success rate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Successful attacks / attempts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Residual adversarial exposure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False-positive rate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Blocked benign / benign tests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Business cost of guardrail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Clean-task success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Correct benign / benign tests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Utility under controls</w:t>
            </w:r>
          </w:p>
        </w:tc>
      </w:tr>
    </w:tbl>
    <w:p>
      <w:r>
        <w:br w:type="page"/>
      </w:r>
    </w:p>
    <w:p>
      <w:pPr>
        <w:pStyle w:val="Heading1"/>
      </w:pPr>
      <w:r>
        <w:t>Personal Data Across the AI Lifecycle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Map personal data wherever the system collects, derives, stores, transmits or logs it.</w:t>
      </w:r>
    </w:p>
    <w:p>
      <w:pPr>
        <w:pStyle w:val="Heading2"/>
      </w:pPr>
      <w:r>
        <w:t>Slide 129 — The GenAI Data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S15 — PDPC Advisory Guidelines on Key Concepts in the PDPA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Collect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Place in prompt/context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Process in selected model environment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Generate output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Log/retain/delete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Purpose and protection duties apply across the lifecycle, not only at initial collection.</w:t>
            </w:r>
          </w:p>
        </w:tc>
      </w:tr>
    </w:tbl>
    <w:p>
      <w:pPr>
        <w:spacing w:after="80"/>
      </w:pPr>
    </w:p>
    <w:p>
      <w:pPr>
        <w:pStyle w:val="Heading2"/>
      </w:pPr>
      <w:r>
        <w:t>Slide 130 — An Agent Can Add New Data Surfaces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S32 — OpenAI — ChatGPT Work overview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Observation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Screenshots, browser state and external content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 arguments, recipients and transaction details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Persistence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Memory, traces and scheduled-job state</w:t>
            </w:r>
          </w:p>
        </w:tc>
      </w:tr>
    </w:tbl>
    <w:p>
      <w:r>
        <w:br w:type="page"/>
      </w:r>
    </w:p>
    <w:p>
      <w:pPr>
        <w:pStyle w:val="Heading2"/>
      </w:pPr>
      <w:r>
        <w:t>Slide 131 — Tokens Are Authorities, Not Just Strings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API key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Authorises service use and spend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OAuth token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Carries user-approved scopes to an app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Session credential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Represents an authenticated browser or gateway session</w:t>
            </w:r>
          </w:p>
        </w:tc>
      </w:tr>
    </w:tbl>
    <w:p>
      <w:pPr>
        <w:spacing w:after="80"/>
      </w:pPr>
    </w:p>
    <w:p>
      <w:pPr>
        <w:pStyle w:val="Heading2"/>
      </w:pPr>
      <w:r>
        <w:t>Slide 132 — Token-Leak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S19 — Hermes Agent Security, S20 — Anthropic — Claude Code sandboxing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Example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Control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Context/log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Secret pasted or returned by tool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Redact and block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Environment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Process inherits broad variables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Minimal environment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Browser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Cookie-bearing session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Dedicated profile and logout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Repository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Credential file in workspace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Secret scanning and isolation</w:t>
            </w:r>
          </w:p>
        </w:tc>
      </w:tr>
    </w:tbl>
    <w:p>
      <w:r>
        <w:br w:type="page"/>
      </w:r>
    </w:p>
    <w:p>
      <w:pPr>
        <w:pStyle w:val="Heading2"/>
      </w:pPr>
      <w:r>
        <w:t>Slide 133 — Secret and Token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S19 — Hermes Agent Security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Issue narrow scope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Use short lifetime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Isolate from context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Monitor use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Rotate or revoke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Never give the model authority that the containing process does not need.</w:t>
            </w:r>
          </w:p>
        </w:tc>
      </w:tr>
    </w:tbl>
    <w:p>
      <w:pPr>
        <w:spacing w:after="80"/>
      </w:pPr>
    </w:p>
    <w:p>
      <w:pPr>
        <w:pStyle w:val="Heading2"/>
      </w:pPr>
      <w:r>
        <w:t>Slide 134 — PDPA Obligations Relevant to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Obligation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AI-system application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Notification / applicable basis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Document the legal basis or exception and notify purposes as required; consent is not universal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Purpose limitation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 data only for appropriate notified purposes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Protection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Secure prompts, outputs, memory, tools and logs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Retention/transfer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Delete when no longer needed and protect overseas transfers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Accountability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Assign responsibility and policies</w:t>
            </w:r>
          </w:p>
        </w:tc>
      </w:tr>
    </w:tbl>
    <w:p>
      <w:r>
        <w:br w:type="page"/>
      </w:r>
    </w:p>
    <w:p>
      <w:pPr>
        <w:pStyle w:val="Heading2"/>
      </w:pPr>
      <w:r>
        <w:t>Slide 135 — Data-Breach Notification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PDPA, S16 — PDPC Guide on Managing and Notifying Data Breaches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Contain and assess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Significant harm likely?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500 or more affected?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Determine notifiability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PDPC within 3 calendar days after determination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Notify the PDPC if significant harm is likely OR the breach is of significant scale; notify affected individuals as soon as practicable where required.</w:t>
            </w:r>
          </w:p>
        </w:tc>
      </w:tr>
    </w:tbl>
    <w:p>
      <w:pPr>
        <w:spacing w:after="80"/>
      </w:pPr>
    </w:p>
    <w:p>
      <w:pPr>
        <w:pStyle w:val="Heading2"/>
      </w:pPr>
      <w:r>
        <w:t>Slide 136 — Purpose Limitation and Data Minimisation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Over-collection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Bounded design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Whole mailbox or drive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Task-specific folders/fields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Full identifiers in prompts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Tokenise or remove identifiers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Indefinite memory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Purpose-linked retention</w:t>
            </w:r>
          </w:p>
        </w:tc>
      </w:tr>
    </w:tbl>
    <w:p>
      <w:r>
        <w:br w:type="page"/>
      </w:r>
    </w:p>
    <w:p>
      <w:pPr>
        <w:pStyle w:val="Heading2"/>
      </w:pPr>
      <w:r>
        <w:t>Slide 137 — Vendors, Subprocessors, and Overseas 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Data path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Where prompts, files, outputs and logs travel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Contract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Use, retention, deletion, subprocessors and incident support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Assurance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Comparable protection for overseas transfers</w:t>
            </w:r>
          </w:p>
        </w:tc>
      </w:tr>
    </w:tbl>
    <w:p>
      <w:pPr>
        <w:spacing w:after="80"/>
      </w:pPr>
    </w:p>
    <w:p>
      <w:pPr>
        <w:pStyle w:val="Heading2"/>
      </w:pPr>
      <w:r>
        <w:t>Slide 138 — Logs, Retention, and Deletion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Need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Keep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Limit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Security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Identity, policy result, tool call and outcome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Raw personal content where unnecessary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Audit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Decision and approval evidence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Unlimited conversational history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Operations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Failure traces for defined period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Orphaned memories after decommission</w:t>
            </w:r>
          </w:p>
        </w:tc>
      </w:tr>
    </w:tbl>
    <w:p>
      <w:r>
        <w:br w:type="page"/>
      </w:r>
    </w:p>
    <w:p>
      <w:pPr>
        <w:pStyle w:val="Heading2"/>
      </w:pPr>
      <w:r>
        <w:t>Slide 139 — Privacy by Design for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Separate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Dedicated identities, stores and runtime boundaries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Minimise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Only required fields enter model context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Validate recipients and require review for sensitive disclosure</w:t>
            </w:r>
          </w:p>
        </w:tc>
      </w:tr>
    </w:tbl>
    <w:p>
      <w:pPr>
        <w:spacing w:after="80"/>
      </w:pPr>
    </w:p>
    <w:p>
      <w:pPr>
        <w:pStyle w:val="Heading2"/>
      </w:pPr>
      <w:r>
        <w:t>Slide 140 — Fictional Case — Singapore Claims Assistant Leak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Injected claim document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Assistant retrieves unrelated records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Tool prepares external transmission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Egress/approval gap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PDPA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All names, counts, systems and outcomes are fictional.</w:t>
            </w:r>
          </w:p>
        </w:tc>
      </w:tr>
    </w:tbl>
    <w:p>
      <w:r>
        <w:br w:type="page"/>
      </w:r>
    </w:p>
    <w:p>
      <w:pPr>
        <w:pStyle w:val="Heading2"/>
      </w:pPr>
      <w:r>
        <w:t>Slide 141 — Data-Leakage Mitigation Playbook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PDPA, S16 — PDPC Guide on Managing and Notifying Data Breaches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Detect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Contain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Revoke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Preserve evidence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Assess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6.  </w:t>
      </w:r>
      <w:r>
        <w:rPr>
          <w:rFonts w:ascii="Arial" w:hAnsi="Arial"/>
          <w:color w:val="111827"/>
          <w:sz w:val="21"/>
        </w:rPr>
        <w:t>Notify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7.  </w:t>
      </w:r>
      <w:r>
        <w:rPr>
          <w:rFonts w:ascii="Arial" w:hAnsi="Arial"/>
          <w:color w:val="111827"/>
          <w:sz w:val="21"/>
        </w:rPr>
        <w:t>Remediate</w:t>
      </w:r>
    </w:p>
    <w:p>
      <w:pPr>
        <w:pStyle w:val="Heading2"/>
      </w:pPr>
      <w:r>
        <w:t>Slide 142 — Evidence Exercise — Build the Agent Data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List each field and whether it is personal data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Name collection source, purpose, recipient and storage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Set access, retention, deletion and breach owner</w:t>
      </w:r>
    </w:p>
    <w:p>
      <w:r>
        <w:br w:type="page"/>
      </w:r>
    </w:p>
    <w:p>
      <w:pPr>
        <w:pStyle w:val="Heading1"/>
      </w:pPr>
      <w:r>
        <w:t>Frameworks Before Incident Analysis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Use each framework for the question it was designed to answer.</w:t>
      </w:r>
    </w:p>
    <w:p>
      <w:pPr>
        <w:pStyle w:val="Heading2"/>
      </w:pPr>
      <w:r>
        <w:t>Slide 145 — The Framework Stack — Different Instruments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S11 — OWASP Top 10 for LLM Applications, S12 — OWASP Top 10 for Agentic Applications 2026, S13 — MITRE ATLAS,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Instrument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Primary question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Use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NIST AI RMF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How do we manage risk?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Lifecycle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OWASP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What can go wrong?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Risk / vulnerability taxonomy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MITRE ATLAS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How do adversaries operate?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Techniques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IMDA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How do we bound and govern agents?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Accountability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PDPA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What duties apply to personal data?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Legal obligation</w:t>
            </w:r>
          </w:p>
        </w:tc>
      </w:tr>
    </w:tbl>
    <w:p>
      <w:pPr>
        <w:spacing w:after="80"/>
      </w:pPr>
    </w:p>
    <w:p>
      <w:pPr>
        <w:pStyle w:val="Heading2"/>
      </w:pPr>
      <w:r>
        <w:t>Slide 146 — NIST AI RMF — Govern, Map, Measure, Manage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Govern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Map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Measure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Manage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functions are iterative; governance is cross-cutting rather than a final sign-off.</w:t>
            </w:r>
          </w:p>
        </w:tc>
      </w:tr>
    </w:tbl>
    <w:p>
      <w:r>
        <w:br w:type="page"/>
      </w:r>
    </w:p>
    <w:p>
      <w:pPr>
        <w:pStyle w:val="Heading2"/>
      </w:pPr>
      <w:r>
        <w:t>Slide 147 — OWASP LLM and Agentic Top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S11 — OWASP Top 10 for LLM Applications,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LLM application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Agentic application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Prompt, data, model and output risks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Goals, tools, identity, memory and coordination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Useful for GenAI/RAG applications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Useful when systems plan and act</w:t>
            </w:r>
          </w:p>
        </w:tc>
      </w:tr>
    </w:tbl>
    <w:p>
      <w:pPr>
        <w:spacing w:after="80"/>
      </w:pPr>
    </w:p>
    <w:p>
      <w:pPr>
        <w:pStyle w:val="Heading2"/>
      </w:pPr>
      <w:r>
        <w:t>Slide 148 — MITRE ATLAS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Knowledge base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Tactics and techniques against AI-enabled systems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Coverage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Maps tactics, techniques, mitigations and documented case studies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Threat assessment, red teaming and detection design</w:t>
            </w:r>
          </w:p>
        </w:tc>
      </w:tr>
    </w:tbl>
    <w:p>
      <w:r>
        <w:br w:type="page"/>
      </w:r>
    </w:p>
    <w:p>
      <w:pPr>
        <w:pStyle w:val="Heading2"/>
      </w:pPr>
      <w:r>
        <w:t>Slide 149 — IMDA Agentic AI Governance Framework — Four Dimensions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Assess and bound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Choose suitable use cases; limit action space, data, tools and autonomy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accountability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Define significant checkpoints and meaningful approval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Technical controls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Apply controls and processes across the lifecycle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End-user responsibility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Enable informed use through transparency and training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Action space and autonomy are distinct; some use cases may be unsuitable for agents.</w:t>
            </w:r>
          </w:p>
        </w:tc>
      </w:tr>
    </w:tbl>
    <w:p>
      <w:pPr>
        <w:spacing w:after="80"/>
      </w:pPr>
    </w:p>
    <w:p>
      <w:pPr>
        <w:pStyle w:val="Heading2"/>
      </w:pPr>
      <w:r>
        <w:t>Slide 150 — PDPA and PDPC Guidance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S15 — PDPC Advisory Guidelines on Key Concepts in the PDPA, S16 — PDPC Guide on Managing and Notifying Data Breaches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Duty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Security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Purpose/notification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Document why data enters the system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Protection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Secure every prompt, memory, output and tool path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Retention/transfer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Control duration and overseas handling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Breach notification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Assess and notify when statutory tests are met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Use enacted PDPA obligations and published PDPC guidance. The 2 Jun 2026 GenAI document is a public-consultation proposal, not final guidance.</w:t>
            </w:r>
          </w:p>
        </w:tc>
      </w:tr>
    </w:tbl>
    <w:p>
      <w:r>
        <w:br w:type="page"/>
      </w:r>
    </w:p>
    <w:p>
      <w:pPr>
        <w:pStyle w:val="Heading2"/>
      </w:pPr>
      <w:r>
        <w:t>Slide 151 — Positive Governance Case — Dayos Tiered IT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CASE-V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Tier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Documented pattern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Control lesson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Tier 1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Low severity and reversible; propose-confirm with requesting user; no human engineer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Record reasoning/confidence; audit a cross-section biweekly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Tier 2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Agent diagnoses and proposes; human approval is required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Place approval before the effect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Tier 3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High severity and limited reversibility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Agent cannot perform the action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IMDA-contributed case study, not an independent security endorsement; accessed 20 Aug 2026.</w:t>
            </w:r>
          </w:p>
        </w:tc>
      </w:tr>
    </w:tbl>
    <w:p>
      <w:pPr>
        <w:spacing w:after="80"/>
      </w:pPr>
    </w:p>
    <w:p>
      <w:pPr>
        <w:pStyle w:val="Heading2"/>
      </w:pPr>
      <w:r>
        <w:t>Slide 152 — OpenClaw Threat Walkthrough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Documented fact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Security decision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Trust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One trusted operator per gateway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Separate mixed-trust users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High-impact control-plane/node tools exist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Deny by default for untrusted content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Runtime directory contains sensitive material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Protect host and file permissions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this is a configuration walkthrough, not a universal risk rating.</w:t>
            </w:r>
          </w:p>
        </w:tc>
      </w:tr>
    </w:tbl>
    <w:p>
      <w:r>
        <w:br w:type="page"/>
      </w:r>
    </w:p>
    <w:p>
      <w:pPr>
        <w:pStyle w:val="Heading2"/>
      </w:pPr>
      <w:r>
        <w:t>Slide 153 — Hermes Threat Walkthrough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PROD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S18 — Hermes Agent documentation,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Documented fact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Security decision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Execution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Local and isolated backends are available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Choose backend by risk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Context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Project files and skills can shape behaviour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Scan and review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Approvals and filters provide layers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Keep high-risk tools disabled unless needed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As of 20 Aug 2026; selected backend, approvals and tool configuration determine exposure.</w:t>
            </w:r>
          </w:p>
        </w:tc>
      </w:tr>
    </w:tbl>
    <w:p>
      <w:r>
        <w:br w:type="page"/>
      </w:r>
    </w:p>
    <w:p>
      <w:pPr>
        <w:pStyle w:val="Heading1"/>
      </w:pPr>
      <w:r>
        <w:t>When AI Can Act: Agentic Threats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Map each threat to a component, authority path and earliest control point.</w:t>
      </w:r>
    </w:p>
    <w:p>
      <w:pPr>
        <w:pStyle w:val="Heading2"/>
      </w:pPr>
      <w:r>
        <w:t>Slide 155 — OWASP Agentic Top 10 — System 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Representative risks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Goal/planner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Goal hijack, rogue behaviour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Tools/identity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 misuse, privilege abuse, code execution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State/comms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Memory poisoning, insecure inter-agent communication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System/human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Supply chain, cascades, trust exploitation</w:t>
            </w:r>
          </w:p>
        </w:tc>
      </w:tr>
    </w:tbl>
    <w:p>
      <w:pPr>
        <w:spacing w:after="80"/>
      </w:pPr>
    </w:p>
    <w:p>
      <w:pPr>
        <w:pStyle w:val="Heading2"/>
      </w:pPr>
      <w:r>
        <w:t>Slide 156 — ASI01 — Agent Goal Hijack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Hostile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Objective shifts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Planner selects attacker-serving steps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Tools execute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Bind goals and validate actions independently of the model's stated rationale.</w:t>
            </w:r>
          </w:p>
        </w:tc>
      </w:tr>
    </w:tbl>
    <w:p>
      <w:r>
        <w:br w:type="page"/>
      </w:r>
    </w:p>
    <w:p>
      <w:pPr>
        <w:pStyle w:val="Heading2"/>
      </w:pPr>
      <w:r>
        <w:t>Slide 157 — ASI02 — Tool Misuse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Legitimate tool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Tool itself may work as designed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Harmful use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Parameters, sequence or context creates harm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Allowlist, schema, policy and approval</w:t>
            </w:r>
          </w:p>
        </w:tc>
      </w:tr>
    </w:tbl>
    <w:p>
      <w:pPr>
        <w:spacing w:after="80"/>
      </w:pPr>
    </w:p>
    <w:p>
      <w:pPr>
        <w:pStyle w:val="Heading2"/>
      </w:pPr>
      <w:r>
        <w:t>Slide 158 — ASI03 — Identity and Privilege Abuse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Agent receives identity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Scope exceeds task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Compromised plan invokes privilege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Action is attributed poorly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Use a distinct agent identity with task-specific, short-lived permissions.</w:t>
            </w:r>
          </w:p>
        </w:tc>
      </w:tr>
    </w:tbl>
    <w:p>
      <w:r>
        <w:br w:type="page"/>
      </w:r>
    </w:p>
    <w:p>
      <w:pPr>
        <w:pStyle w:val="Heading2"/>
      </w:pPr>
      <w:r>
        <w:t>Slide 159 — ASI04 — Agentic Supply-Chain Vulnerabilities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Components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Models, skills, plugins, MCP, packages and prompts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Change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Runtime discovery and updates can alter reviewed behaviour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Provenance, pinning, integrity, isolation and inventory</w:t>
            </w:r>
          </w:p>
        </w:tc>
      </w:tr>
    </w:tbl>
    <w:p>
      <w:pPr>
        <w:spacing w:after="80"/>
      </w:pPr>
    </w:p>
    <w:p>
      <w:pPr>
        <w:pStyle w:val="Heading2"/>
      </w:pPr>
      <w:r>
        <w:t>Slide 160 — ASI05 — Unexpected Code Execution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Exposure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Boundary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Generated code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Unsafe program is proposed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Review and test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Interpreter/shell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Code is executed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Sandbox and allowlist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Host escape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Runtime boundary fails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Hardened isolation and monitoring</w:t>
            </w:r>
          </w:p>
        </w:tc>
      </w:tr>
    </w:tbl>
    <w:p>
      <w:r>
        <w:br w:type="page"/>
      </w:r>
    </w:p>
    <w:p>
      <w:pPr>
        <w:pStyle w:val="Heading2"/>
      </w:pPr>
      <w:r>
        <w:t>Slide 161 — ASI06 — Memory and Context Poisoning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Attacker supplies content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Agent writes memory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Provenance is lost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Later session retrieves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Behaviour persists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Gate memory writes and retain source, author, timestamp and review status.</w:t>
            </w:r>
          </w:p>
        </w:tc>
      </w:tr>
    </w:tbl>
    <w:p>
      <w:pPr>
        <w:spacing w:after="80"/>
      </w:pPr>
    </w:p>
    <w:p>
      <w:pPr>
        <w:pStyle w:val="Heading2"/>
      </w:pPr>
      <w:r>
        <w:t>Slide 162 — ASI07 — Insecure Inter-Agent Communication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Identity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Can the receiver authenticate the sender?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Message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Is task intent and data integrity protected?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Delegation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Does authority narrow across handoffs?</w:t>
            </w:r>
          </w:p>
        </w:tc>
      </w:tr>
    </w:tbl>
    <w:p>
      <w:r>
        <w:br w:type="page"/>
      </w:r>
    </w:p>
    <w:p>
      <w:pPr>
        <w:pStyle w:val="Heading2"/>
      </w:pPr>
      <w:r>
        <w:t>Slide 163 — ASI08 — Cascading Failures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Wrong signal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Automated acceptance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Downstream transformation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Repeated propagation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System impact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Validate at handoff boundaries and set fan-out, retry and budget limits.</w:t>
            </w:r>
          </w:p>
        </w:tc>
      </w:tr>
    </w:tbl>
    <w:p>
      <w:pPr>
        <w:spacing w:after="80"/>
      </w:pPr>
    </w:p>
    <w:p>
      <w:pPr>
        <w:pStyle w:val="Heading2"/>
      </w:pPr>
      <w:r>
        <w:t>Slide 164 — ASI09 — Human-Agent Trust Exploitation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Presentation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Confident explanation appears authoritative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factor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Time pressure and automation bias weaken review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Show evidence and exact effect; audit approval quality</w:t>
            </w:r>
          </w:p>
        </w:tc>
      </w:tr>
    </w:tbl>
    <w:p>
      <w:r>
        <w:br w:type="page"/>
      </w:r>
    </w:p>
    <w:p>
      <w:pPr>
        <w:pStyle w:val="Heading2"/>
      </w:pPr>
      <w:r>
        <w:t>Slide 165 — ASI10 — Rogue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Supported statement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Unsupported leap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OWASP identifies rogue-agent risk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An evaluation is a production breach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Evaluations may test concealment or misalignment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model finding proves every deployment behaves alike</w:t>
            </w:r>
          </w:p>
        </w:tc>
      </w:tr>
    </w:tbl>
    <w:p>
      <w:pPr>
        <w:spacing w:after="80"/>
      </w:pPr>
    </w:p>
    <w:p>
      <w:pPr>
        <w:pStyle w:val="Heading2"/>
      </w:pPr>
      <w:r>
        <w:t>Slide 166 — Malicious or Untrusted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S18 — Hermes Agent documentation,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Instructions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 skill can steer tool selection and behaviour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Code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Bundled scripts can execute with host authority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Control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Review source, content, version, capabilities and updates</w:t>
            </w:r>
          </w:p>
        </w:tc>
      </w:tr>
    </w:tbl>
    <w:p>
      <w:r>
        <w:br w:type="page"/>
      </w:r>
    </w:p>
    <w:p>
      <w:pPr>
        <w:pStyle w:val="Heading2"/>
      </w:pPr>
      <w:r>
        <w:t>Slide 167 — CASE-R — ClawHavoc Reported Malicious-Skill Campaign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CASE-R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S37 — Koi Security — ClawHavoc reported malicious-skill campaign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Public skill marketplace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Skill content or setup lure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User/agent installs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Credential theft or malware path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Researcher reports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Koi, 1 Feb 2026; accessed 20 Aug 2026: 341 of 2,857 skills in its audited snapshot, including 335 linked to one campaign; not a current ecosystem rate or affected-user count.</w:t>
            </w:r>
          </w:p>
        </w:tc>
      </w:tr>
    </w:tbl>
    <w:p>
      <w:pPr>
        <w:spacing w:after="80"/>
      </w:pPr>
    </w:p>
    <w:p>
      <w:pPr>
        <w:pStyle w:val="Heading2"/>
      </w:pPr>
      <w:r>
        <w:t>Slide 168 — CASE-V — Amazon Q Developer Extension 1.84.0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CASE-V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S38 — AWS Security Bulletin AWS-2025-015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Inappropriately scoped GitHub token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Malicious code committed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Release automatically included it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Code distributed but syntax error prevented execution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1.84.0 withdrawn; 1.85.0 released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AWS bulletin published 23 Jul 2025, updated 25 Jul 2025; distribution is not proof of execution or customer compromise.</w:t>
            </w:r>
          </w:p>
        </w:tc>
      </w:tr>
    </w:tbl>
    <w:p>
      <w:r>
        <w:br w:type="page"/>
      </w:r>
    </w:p>
    <w:p>
      <w:pPr>
        <w:pStyle w:val="Heading2"/>
      </w:pPr>
      <w:r>
        <w:t>Slide 169 — CASE-V — Replit Agent and an Application Database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CASE-V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S39 — Replit — application database incident and remediation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Agent had write authority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Application database data was deleted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Incident was detected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Database was fully restored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Default dev/prod separation was added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Replit first-party post published 29 Jul 2025; it says no data was lost. Do not describe a permanent loss, customer breach or primary company database.</w:t>
            </w:r>
          </w:p>
        </w:tc>
      </w:tr>
    </w:tbl>
    <w:p>
      <w:pPr>
        <w:spacing w:after="80"/>
      </w:pPr>
    </w:p>
    <w:p>
      <w:pPr>
        <w:pStyle w:val="Heading2"/>
      </w:pPr>
      <w:r>
        <w:t>Slide 170 — Network Exposure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Surface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Control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Listener/gateway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Who can reach it?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Bind, authenticate, segment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Messaging channel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Who can trigger tools?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Pair and allowlist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Outbound web/API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Where can data go?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Proxy and destination allowlist</w:t>
            </w:r>
          </w:p>
        </w:tc>
      </w:tr>
    </w:tbl>
    <w:p>
      <w:r>
        <w:br w:type="page"/>
      </w:r>
    </w:p>
    <w:p>
      <w:pPr>
        <w:pStyle w:val="Heading2"/>
      </w:pPr>
      <w:r>
        <w:t>Slide 171 — Egress, Code Execution, and Host Impact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S17 — OpenClaw Gateway Security, S19 — Hermes Agent Security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Compromise without hard boundaries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Contained design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Broad network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Destination allowlist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User-level shell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Non-root sandbox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Long-lived credentials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Short-lived scoped credentials</w:t>
            </w:r>
          </w:p>
        </w:tc>
      </w:tr>
    </w:tbl>
    <w:p>
      <w:pPr>
        <w:spacing w:after="80"/>
      </w:pPr>
    </w:p>
    <w:p>
      <w:pPr>
        <w:pStyle w:val="Heading2"/>
      </w:pPr>
      <w:r>
        <w:t>Slide 172 — Where Scheduling Is Enabled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S18 — Hermes Agent documentation, S34 — Prime Intellect — Prime Agent repository and launch documentation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Authorised user or scheduling tool creates task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Task persists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Credentials remain usable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Future action executes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Inventory schedules, require approval, cap lifetime and provide revocation.</w:t>
            </w:r>
          </w:p>
        </w:tc>
      </w:tr>
    </w:tbl>
    <w:p>
      <w:r>
        <w:br w:type="page"/>
      </w:r>
    </w:p>
    <w:p>
      <w:pPr>
        <w:pStyle w:val="Heading2"/>
      </w:pPr>
      <w:r>
        <w:t>Slide 173 — Activity 3 — Framework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Use a fictional clinic assistant plus billing agent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Match each decision question to a framework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Avoid claiming that any one framework is complete</w:t>
      </w:r>
    </w:p>
    <w:p>
      <w:pPr>
        <w:pStyle w:val="Heading2"/>
      </w:pPr>
      <w:r>
        <w:t>Slide 174 — Activity 3 — Threat and Metric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Map an OWASP risk to an ATLAS technique only where direct evidence supports it; otherwise record no direct mapping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Map controls to NIST/IMDA lifecycle evidence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Attach PDPA duties where personal data is involved</w:t>
      </w:r>
    </w:p>
    <w:p>
      <w:r>
        <w:br w:type="page"/>
      </w:r>
    </w:p>
    <w:p>
      <w:pPr>
        <w:pStyle w:val="Heading2"/>
      </w:pPr>
      <w:r>
        <w:t>Slide 175 — Activity 3 — Go-Live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Define clean-task and adversarial tests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Name the accountable risk owner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Set conditions for go, conditional go or no-go</w:t>
      </w:r>
    </w:p>
    <w:p>
      <w:pPr>
        <w:pStyle w:val="Heading2"/>
      </w:pPr>
      <w:r>
        <w:t>Slide 176 — Activity 4 — Case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S25 — Aim Labs, EchoLeak research disclosure, S40 — Microsoft — EchoLeak security context, S38 — AWS Security Bulletin AWS-2025-015, S39 — Replit — application database incident and remediation, S37 — Koi Security — ClawHavoc reported malicious-skill campaign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EchoLeak: CASE-V verified vulnerability, not confirmed breach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Amazon Q extension and Replit database event: CASE-V first-party accounts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ClawHavoc: CASE-R research snapshot with denominator and limitations</w:t>
      </w:r>
    </w:p>
    <w:p>
      <w:r>
        <w:br w:type="page"/>
      </w:r>
    </w:p>
    <w:p>
      <w:pPr>
        <w:pStyle w:val="Heading2"/>
      </w:pPr>
      <w:r>
        <w:t>Slide 177 — Activity 4 — Kill Chain and Supply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Reconstruct delivery through impact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Find the earliest effective break point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Apply provenance, integrity, capability, isolation, approval and operations gates</w:t>
      </w:r>
    </w:p>
    <w:p>
      <w:r>
        <w:br w:type="page"/>
      </w:r>
    </w:p>
    <w:p>
      <w:pPr>
        <w:pStyle w:val="Heading1"/>
      </w:pPr>
      <w:r>
        <w:t>From Threats to an Operating Control System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Controls must prevent, detect, respond and leave evidence.</w:t>
      </w:r>
    </w:p>
    <w:p>
      <w:pPr>
        <w:pStyle w:val="Heading2"/>
      </w:pPr>
      <w:r>
        <w:t>Slide 180 — Defence in Depth for GenAI and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Prevent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Bound inputs, identities, tools and runtime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Detect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Observe sequences, policy results and anomalies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Respond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Stop, revoke, preserve, recover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Govern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Own risk, test change and review evidence</w:t>
            </w:r>
          </w:p>
        </w:tc>
      </w:tr>
    </w:tbl>
    <w:p>
      <w:pPr>
        <w:spacing w:after="80"/>
      </w:pPr>
    </w:p>
    <w:p>
      <w:pPr>
        <w:pStyle w:val="Heading2"/>
      </w:pPr>
      <w:r>
        <w:t>Slide 181 — Step 1 — Inventory and Risk-Tier the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Name owner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State purpose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List data/components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Classify impact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Assign tier</w:t>
      </w:r>
    </w:p>
    <w:p>
      <w:r>
        <w:br w:type="page"/>
      </w:r>
    </w:p>
    <w:p>
      <w:pPr>
        <w:pStyle w:val="Heading2"/>
      </w:pPr>
      <w:r>
        <w:t>Slide 182 — Step 2 — Bound Data, Tools, and Autonomy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Data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Allowed sources, fields and retention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Allowed operations and parameter ranges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Autonomy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Stop conditions, budgets and approval points</w:t>
            </w:r>
          </w:p>
        </w:tc>
      </w:tr>
    </w:tbl>
    <w:p>
      <w:pPr>
        <w:spacing w:after="80"/>
      </w:pPr>
    </w:p>
    <w:p>
      <w:pPr>
        <w:pStyle w:val="Heading2"/>
      </w:pPr>
      <w:r>
        <w:t>Slide 183 — Step 3 — Give Every Agent a Scoped Identity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Create distinct identity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Grant minimum scope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Use short lifetime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Log use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Revoke on stop/change</w:t>
      </w:r>
    </w:p>
    <w:p>
      <w:r>
        <w:br w:type="page"/>
      </w:r>
    </w:p>
    <w:p>
      <w:pPr>
        <w:pStyle w:val="Heading2"/>
      </w:pPr>
      <w:r>
        <w:t>Slide 184 — Step 4 — Guardrails and Schema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S11 — OWASP Top 10 for LLM Applications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Screen input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Generate/plan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Validate structured parameters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Apply policy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Screen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Model-based filters add friction; deterministic checks bound actions.</w:t>
            </w:r>
          </w:p>
        </w:tc>
      </w:tr>
    </w:tbl>
    <w:p>
      <w:pPr>
        <w:spacing w:after="80"/>
      </w:pPr>
    </w:p>
    <w:p>
      <w:pPr>
        <w:pStyle w:val="Heading2"/>
      </w:pPr>
      <w:r>
        <w:t>Slide 185 — Step 5 — Sandbox Code and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S17 — OpenClaw Gateway Security, S19 — Hermes Agent Security, S20 — Anthropic — Claude Code sandboxing, S21 — OpenAI — Codex sandboxing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Process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For containerised workloads, prefer non-root and no-new-privileges where supported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Filesystem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Workspace-only or read-only mounts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Resources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CPU, memory, time and process limits</w:t>
            </w:r>
          </w:p>
        </w:tc>
      </w:tr>
    </w:tbl>
    <w:p>
      <w:r>
        <w:br w:type="page"/>
      </w:r>
    </w:p>
    <w:p>
      <w:pPr>
        <w:pStyle w:val="Heading2"/>
      </w:pPr>
      <w:r>
        <w:t>Slide 186 — Step 6 — Control Network Egress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S30 — OpenAI — Codex cloud internet access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Default deny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Allow named destinations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Bind destination secrets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Inspect payload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Alert exceptions</w:t>
      </w:r>
    </w:p>
    <w:p>
      <w:pPr>
        <w:pStyle w:val="Heading2"/>
      </w:pPr>
      <w:r>
        <w:t>Slide 187 — Step 7 — Deterministic Human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Policy detects risk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Prepare exact action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Show effect and evidence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Approve once or reject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Execute or stop</w:t>
      </w:r>
    </w:p>
    <w:p>
      <w:r>
        <w:br w:type="page"/>
      </w:r>
    </w:p>
    <w:p>
      <w:pPr>
        <w:pStyle w:val="Heading2"/>
      </w:pPr>
      <w:r>
        <w:t>Slide 188 — Make Human Approval Meaningful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First view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Second view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Weak approval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Meaningful approval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Vague ‘continue?’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Exact recipient/data/value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Standing permission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One action with expiry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No outcome review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Rejection and override audited</w:t>
            </w:r>
          </w:p>
        </w:tc>
      </w:tr>
    </w:tbl>
    <w:p>
      <w:pPr>
        <w:spacing w:after="80"/>
      </w:pPr>
    </w:p>
    <w:p>
      <w:pPr>
        <w:pStyle w:val="Heading2"/>
      </w:pPr>
      <w:r>
        <w:t>Slide 189 — Step 8 — Log the Decision and the 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Why keep it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Trace and identity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Attribute one end-to-end run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Inputs/source provenance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Explain what influenced the model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Policy and approval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Prove control outcome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 arguments/result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Reconstruct actual effect</w:t>
            </w:r>
          </w:p>
        </w:tc>
      </w:tr>
    </w:tbl>
    <w:p>
      <w:r>
        <w:br w:type="page"/>
      </w:r>
    </w:p>
    <w:p>
      <w:pPr>
        <w:pStyle w:val="Heading2"/>
      </w:pPr>
      <w:r>
        <w:t>Slide 190 — Step 9 — Monitor Sequences, Not Only Events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S12 — OWASP Top 10 for Agentic Applications 2026, S13 — MITRE ATLAS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Sequence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Unexpected tool order or fan-out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Boundary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Repeated denials, scope errors or new destinations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Consumption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Runaway turns, time, tokens or spend</w:t>
            </w:r>
          </w:p>
        </w:tc>
      </w:tr>
    </w:tbl>
    <w:p>
      <w:pPr>
        <w:spacing w:after="80"/>
      </w:pPr>
    </w:p>
    <w:p>
      <w:pPr>
        <w:pStyle w:val="Heading2"/>
      </w:pPr>
      <w:r>
        <w:t>Slide 191 — Step 10 — Red-Team Before Go-Live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DEF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Test family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Clean tasks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Utility and false blocks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Injection/jailbreak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Attack success by family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Tools/identity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Unsafe or denied action attempts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Memory/supply chain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Persistence and provenance controls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Recovery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Kill switch, revoke and restore</w:t>
            </w:r>
          </w:p>
        </w:tc>
      </w:tr>
    </w:tbl>
    <w:p>
      <w:r>
        <w:br w:type="page"/>
      </w:r>
    </w:p>
    <w:p>
      <w:pPr>
        <w:pStyle w:val="Heading2"/>
      </w:pPr>
      <w:r>
        <w:t>Slide 192 — A Measurable Go-Live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S14 — IMDA Model AI Governance Framework for Agentic AI v1.5 (updated 5 Jun 2026)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Performance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Task success on representative clean cases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Security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Attack and unsafe-action results by threat family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Operations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Approval quality, detection and recovery tests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CONTROL IMPLICATION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Thresholds are organisation-defined; do not invent universal percentages.</w:t>
            </w:r>
          </w:p>
        </w:tc>
      </w:tr>
    </w:tbl>
    <w:p>
      <w:pPr>
        <w:spacing w:after="80"/>
      </w:pPr>
    </w:p>
    <w:p>
      <w:pPr>
        <w:pStyle w:val="Heading2"/>
      </w:pPr>
      <w:r>
        <w:t>Slide 193 — Incident Response for an AI Agent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S13 — MITRE ATLAS, S16 — PDPC Guide on Managing and Notifying Data Breaches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Immediate action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 or decision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Identify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Stop work and isolate the runtime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Affected goal, session, tools and data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Contain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Revoke credentials and block egress</w:t>
            </w:r>
          </w:p>
        </w:tc>
        <w:tc>
          <w:tcPr>
            <w:tcW w:type="dxa" w:w="288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Identity, scopes, destinations and timestamps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Assess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Preserve logs and determine impact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Personal data, actions, reversibility and notification test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Recover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Restore clean state and re-test controls</w:t>
            </w:r>
          </w:p>
        </w:tc>
        <w:tc>
          <w:tcPr>
            <w:tcW w:type="dxa" w:w="288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Root cause, corrective action, owner and approval</w:t>
            </w:r>
          </w:p>
        </w:tc>
      </w:tr>
    </w:tbl>
    <w:p>
      <w:r>
        <w:br w:type="page"/>
      </w:r>
    </w:p>
    <w:p>
      <w:pPr>
        <w:pStyle w:val="Heading2"/>
      </w:pPr>
      <w:r>
        <w:t>Slide 194 — Safe Change, Rollback, and Decommissioning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Inventory change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Re-test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Stage rollout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Rollback if gate fails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Revoke/delete/archive at retirement</w:t>
      </w:r>
    </w:p>
    <w:p>
      <w:pPr>
        <w:pStyle w:val="Heading2"/>
      </w:pPr>
      <w:r>
        <w:t>Slide 195 — Shared Responsibility Across the Agent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Evidence owned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Provider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Limits, safety data, terms and change notice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Builder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Architecture, tools, provenance and tests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Deployer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Purpose, access, autonomy and approval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Operator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Monitoring, incident response and re-test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User/approver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Verification and escalation</w:t>
            </w:r>
          </w:p>
        </w:tc>
      </w:tr>
    </w:tbl>
    <w:p>
      <w:r>
        <w:br w:type="page"/>
      </w:r>
    </w:p>
    <w:p>
      <w:pPr>
        <w:pStyle w:val="Heading2"/>
      </w:pPr>
      <w:r>
        <w:t>Slide 196 — Responsible AI Principles Become Controls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Principle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Observable control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Accountability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Named owner and residual-risk sign-off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Transparency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Capability, data and appeal notice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Fairness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Segment testing and remediation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Privacy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Minimisation, purpose and retention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agency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Meaningful review and remedy</w:t>
            </w:r>
          </w:p>
        </w:tc>
      </w:tr>
    </w:tbl>
    <w:p>
      <w:pPr>
        <w:spacing w:after="80"/>
      </w:pPr>
    </w:p>
    <w:p>
      <w:pPr>
        <w:pStyle w:val="Heading2"/>
      </w:pPr>
      <w:r>
        <w:t>Slide 197 — Activity 5 — Governance Deployment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Review a fictional bank collections agent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Use only synthetic segment and test data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Decide go, conditional go or no-go</w:t>
      </w:r>
    </w:p>
    <w:p>
      <w:r>
        <w:br w:type="page"/>
      </w:r>
    </w:p>
    <w:p>
      <w:pPr>
        <w:pStyle w:val="Heading2"/>
      </w:pPr>
      <w:r>
        <w:t>Slide 198 — Activity 5 — Bias, Privacy, and Autonomy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Compare performance by affected group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Map personal-data purpose and disclosure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Set read, recommend, prepare and execute boundaries</w:t>
      </w:r>
    </w:p>
    <w:p>
      <w:pPr>
        <w:pStyle w:val="Heading2"/>
      </w:pPr>
      <w:r>
        <w:t>Slide 199 — Activity 5 — Go, Conditional Go, or No-Go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SIM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State evidence and uncertainty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Name conditions, accountable owner and review date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Define kill switch, rollback and escalation</w:t>
      </w:r>
    </w:p>
    <w:p>
      <w:r>
        <w:br w:type="page"/>
      </w:r>
    </w:p>
    <w:p>
      <w:pPr>
        <w:pStyle w:val="Heading2"/>
      </w:pPr>
      <w:r>
        <w:t>Slide 200 — Production Security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S12 — OWASP Top 10 for Agentic Applications 2026,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Gate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Minimum evidence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Own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Purpose, tier and accountable roles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Bound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Data, identity, tools, network and autonomy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Assure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Clean/adversarial tests and approval quality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Logs, alerts, response and rollback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Sustain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Change control and decommissioning</w:t>
            </w:r>
          </w:p>
        </w:tc>
      </w:tr>
    </w:tbl>
    <w:p>
      <w:pPr>
        <w:spacing w:after="80"/>
      </w:pPr>
    </w:p>
    <w:p>
      <w:pPr>
        <w:pStyle w:val="Heading2"/>
      </w:pPr>
      <w:r>
        <w:t>Slide 201 — Course Synthesis — Bound the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S09 — NIST AI 600-1, Generative AI Profile, S12 — OWASP Top 10 for Agentic Applications 2026, S14 — IMDA Model AI Governance Framework for Agentic AI v1.5 (updated 5 Jun 2026)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Know the operating layers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Assume content can be hostile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Limit identity and tools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Gate irreversible effects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Preserve evidence</w:t>
      </w:r>
    </w:p>
    <w:p>
      <w:r>
        <w:br w:type="page"/>
      </w:r>
    </w:p>
    <w:p>
      <w:pPr>
        <w:pStyle w:val="Heading2"/>
      </w:pPr>
      <w:r>
        <w:t>Slide 202 — Day 2 Recap — From Attack to Assurance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SYN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Sources: S10 — NIST AI Risk Management Framework, S12 — OWASP Top 10 for Agentic Applications 2026, S14 — IMDA Model AI Governance Framework for Agentic AI v1.5 (updated 5 Jun 2026), S15 — PDPC Advisory Guidelines on Key Concepts in the PDPA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Meaning or control implication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Attack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Trace content through authority to effect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Defend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Use layered, deterministic boundaries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Govern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Measure, own and improve residual risk</w:t>
            </w:r>
          </w:p>
        </w:tc>
      </w:tr>
    </w:tbl>
    <w:p>
      <w:pPr>
        <w:spacing w:after="80"/>
      </w:pPr>
    </w:p>
    <w:p>
      <w:pPr>
        <w:pStyle w:val="Heading2"/>
      </w:pPr>
      <w:r>
        <w:t>Slide 203 — Assessment Reminder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Complete required digital attendance</w:t>
      </w:r>
    </w:p>
    <w:p>
      <w:pPr>
        <w:pStyle w:val="ListBullet"/>
        <w:keepNext/>
        <w:keepLines/>
        <w:spacing w:after="100"/>
      </w:pPr>
      <w:r>
        <w:rPr>
          <w:rFonts w:ascii="Arial" w:hAnsi="Arial"/>
          <w:color w:val="111827"/>
          <w:sz w:val="21"/>
        </w:rPr>
        <w:t>Use slides, Learner Guide and activity evidence</w:t>
      </w:r>
    </w:p>
    <w:p>
      <w:pPr>
        <w:pStyle w:val="ListBullet"/>
        <w:keepNext w:val="0"/>
        <w:keepLines/>
        <w:spacing w:after="100"/>
      </w:pPr>
      <w:r>
        <w:rPr>
          <w:rFonts w:ascii="Arial" w:hAnsi="Arial"/>
          <w:color w:val="111827"/>
          <w:sz w:val="21"/>
        </w:rPr>
        <w:t>Submit the required assessment files on the LMS</w:t>
      </w:r>
    </w:p>
    <w:p>
      <w:r>
        <w:br w:type="page"/>
      </w:r>
    </w:p>
    <w:p>
      <w:pPr>
        <w:pStyle w:val="Heading2"/>
      </w:pPr>
      <w:r>
        <w:t>Slide 204 — Assessment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EVIDENCE STATUS: ADMIN</w:t>
            </w:r>
          </w:p>
          <w:p>
            <w:pPr>
              <w:keepNext/>
              <w:keepLines/>
            </w:pPr>
            <w:r>
              <w:rPr>
                <w:rFonts w:ascii="Arial" w:hAnsi="Arial"/>
                <w:color w:val="111827"/>
                <w:sz w:val="20"/>
              </w:rPr>
              <w:t>Administrative or classroom-synthesis slide; no external factual claim is introduced.</w:t>
            </w:r>
          </w:p>
        </w:tc>
      </w:tr>
    </w:tbl>
    <w:p>
      <w:pPr>
        <w:spacing w:after="80"/>
      </w:pP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1.  </w:t>
      </w:r>
      <w:r>
        <w:rPr>
          <w:rFonts w:ascii="Arial" w:hAnsi="Arial"/>
          <w:color w:val="111827"/>
          <w:sz w:val="21"/>
        </w:rPr>
        <w:t>TRAQOM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2.  </w:t>
      </w:r>
      <w:r>
        <w:rPr>
          <w:rFonts w:ascii="Arial" w:hAnsi="Arial"/>
          <w:color w:val="111827"/>
          <w:sz w:val="21"/>
        </w:rPr>
        <w:t>Assessment attendance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3.  </w:t>
      </w:r>
      <w:r>
        <w:rPr>
          <w:rFonts w:ascii="Arial" w:hAnsi="Arial"/>
          <w:color w:val="111827"/>
          <w:sz w:val="21"/>
        </w:rPr>
        <w:t>WA then case study</w:t>
      </w:r>
    </w:p>
    <w:p>
      <w:pPr>
        <w:keepNext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4.  </w:t>
      </w:r>
      <w:r>
        <w:rPr>
          <w:rFonts w:ascii="Arial" w:hAnsi="Arial"/>
          <w:color w:val="111827"/>
          <w:sz w:val="21"/>
        </w:rPr>
        <w:t>Submit on LMS</w:t>
      </w:r>
    </w:p>
    <w:p>
      <w:pPr>
        <w:keepNext w:val="0"/>
        <w:keepLines/>
        <w:spacing w:after="100"/>
        <w:ind w:left="576" w:hanging="576"/>
      </w:pPr>
      <w:r>
        <w:rPr>
          <w:rFonts w:ascii="Arial" w:hAnsi="Arial"/>
          <w:b/>
          <w:color w:val="1F6FEB"/>
          <w:sz w:val="21"/>
        </w:rPr>
        <w:t xml:space="preserve">5.  </w:t>
      </w:r>
      <w:r>
        <w:rPr>
          <w:rFonts w:ascii="Arial" w:hAnsi="Arial"/>
          <w:color w:val="111827"/>
          <w:sz w:val="21"/>
        </w:rPr>
        <w:t>Sign summary record</w:t>
      </w:r>
    </w:p>
    <w:p>
      <w:r>
        <w:br w:type="page"/>
      </w:r>
    </w:p>
    <w:p>
      <w:pPr>
        <w:pStyle w:val="Heading1"/>
      </w:pPr>
      <w:r>
        <w:t>Detailed Activity Walkthroughs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SAFE-LAB BOUNDARY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Use synthetic data, dummy credentials, local or sandboxed tools, and non-routable recipients. Do not probe production services, install unreviewed community packages, or paste real personal data into public AI systems.</w:t>
            </w:r>
          </w:p>
        </w:tc>
      </w:tr>
    </w:tbl>
    <w:p>
      <w:r>
        <w:br w:type="page"/>
      </w:r>
    </w:p>
    <w:p>
      <w:pPr>
        <w:pStyle w:val="Heading2"/>
      </w:pPr>
      <w:r>
        <w:t>Activity 1 — Threat Modelling a Generative AI Concierge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Duration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45 minutes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Folder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activities/activity-1-threat-modelling-genai-concierge/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Evidence status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SIM — every organisation, person, event, count and value is fictional.</w:t>
            </w:r>
          </w:p>
        </w:tc>
      </w:tr>
    </w:tbl>
    <w:p>
      <w:pPr>
        <w:spacing w:after="80"/>
      </w:pPr>
    </w:p>
    <w:p>
      <w:pPr>
        <w:pStyle w:val="Heading3"/>
      </w:pPr>
      <w:r>
        <w:t>Step-by-step procedure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1.  </w:t>
      </w:r>
      <w:r>
        <w:rPr>
          <w:rFonts w:ascii="Arial" w:hAnsi="Arial"/>
          <w:color w:val="111827"/>
          <w:sz w:val="18"/>
        </w:rPr>
        <w:t>Read the scenario and list every channel, data store, retrieval source, model, tool and output consumer.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2.  </w:t>
      </w:r>
      <w:r>
        <w:rPr>
          <w:rFonts w:ascii="Arial" w:hAnsi="Arial"/>
          <w:color w:val="111827"/>
          <w:sz w:val="18"/>
        </w:rPr>
        <w:t>Draw the data-flow diagram. Mark where data crosses from a public, partner or internal writer into model context.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3.  </w:t>
      </w:r>
      <w:r>
        <w:rPr>
          <w:rFonts w:ascii="Arial" w:hAnsi="Arial"/>
          <w:color w:val="111827"/>
          <w:sz w:val="18"/>
        </w:rPr>
        <w:t>Mark personal data, secrets and business-sensitive data; record purpose, owner and retention for each.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4.  </w:t>
      </w:r>
      <w:r>
        <w:rPr>
          <w:rFonts w:ascii="Arial" w:hAnsi="Arial"/>
          <w:color w:val="111827"/>
          <w:sz w:val="18"/>
        </w:rPr>
        <w:t>For each attacker-writable source, write one realistic abuse case without running it against a live system.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5.  </w:t>
      </w:r>
      <w:r>
        <w:rPr>
          <w:rFonts w:ascii="Arial" w:hAnsi="Arial"/>
          <w:color w:val="111827"/>
          <w:sz w:val="18"/>
        </w:rPr>
        <w:t>Trace the authority path from content to model interpretation, tool selection, identity, action and effect.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6.  </w:t>
      </w:r>
      <w:r>
        <w:rPr>
          <w:rFonts w:ascii="Arial" w:hAnsi="Arial"/>
          <w:color w:val="111827"/>
          <w:sz w:val="18"/>
        </w:rPr>
        <w:t>Rank each boundary by impact, likelihood, reversibility and detection difficulty.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7.  </w:t>
      </w:r>
      <w:r>
        <w:rPr>
          <w:rFonts w:ascii="Arial" w:hAnsi="Arial"/>
          <w:color w:val="111827"/>
          <w:sz w:val="18"/>
        </w:rPr>
        <w:t>Choose the earliest deterministic control for the top three risks; state residual risk and operational cost.</w:t>
      </w:r>
    </w:p>
    <w:p>
      <w:pPr>
        <w:keepNext w:val="0"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8.  </w:t>
      </w:r>
      <w:r>
        <w:rPr>
          <w:rFonts w:ascii="Arial" w:hAnsi="Arial"/>
          <w:color w:val="111827"/>
          <w:sz w:val="18"/>
        </w:rPr>
        <w:t>Recommend proceed, conditional proceed or halt, and attach the completed deployment checklist.</w:t>
      </w:r>
    </w:p>
    <w:p>
      <w:pPr>
        <w:pStyle w:val="Heading3"/>
      </w:pPr>
      <w:r>
        <w:t>Required evidence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One labelled data-flow diagram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One ranked abuse-case table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Three control decisions with owners</w:t>
      </w:r>
    </w:p>
    <w:p>
      <w:pPr>
        <w:pStyle w:val="ListBullet"/>
        <w:keepNext w:val="0"/>
        <w:keepLines/>
        <w:spacing w:after="60"/>
      </w:pPr>
      <w:r>
        <w:rPr>
          <w:rFonts w:ascii="Arial" w:hAnsi="Arial"/>
          <w:color w:val="111827"/>
          <w:sz w:val="18"/>
        </w:rPr>
        <w:t>A rollout decision and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ACCEPTANCE CRITERIA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diagram covers at least three channels, four retrieval sources and four tools; each of the top three risks has a source-to-sink chain, owner, control, test evidence, residual risk and operational cost; the group records one rollout decision.</w:t>
            </w:r>
          </w:p>
        </w:tc>
      </w:tr>
    </w:tbl>
    <w:p>
      <w:r>
        <w:br w:type="page"/>
      </w:r>
    </w:p>
    <w:p>
      <w:pPr>
        <w:pStyle w:val="Heading2"/>
      </w:pPr>
      <w:r>
        <w:t>Activity 2 — Prompt Injection and the PDPA Breach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Duration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60 minutes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Folder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activities/activity-2-prompt-injection-data-leakage/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Evidence status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SIM — use only the supplied masked data, local dummy tools and non-routable destinations.</w:t>
            </w:r>
          </w:p>
        </w:tc>
      </w:tr>
    </w:tbl>
    <w:p>
      <w:pPr>
        <w:spacing w:after="80"/>
      </w:pPr>
    </w:p>
    <w:p>
      <w:pPr>
        <w:pStyle w:val="Heading3"/>
      </w:pPr>
      <w:r>
        <w:t>Step-by-step procedure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1.  </w:t>
      </w:r>
      <w:r>
        <w:rPr>
          <w:rFonts w:ascii="Arial" w:hAnsi="Arial"/>
          <w:color w:val="111827"/>
          <w:sz w:val="18"/>
        </w:rPr>
        <w:t>Establish a clean baseline using a legitimate document and record expected output and permitted actions.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2.  </w:t>
      </w:r>
      <w:r>
        <w:rPr>
          <w:rFonts w:ascii="Arial" w:hAnsi="Arial"/>
          <w:color w:val="111827"/>
          <w:sz w:val="18"/>
        </w:rPr>
        <w:t>Run the supplied direct-injection variant against the dummy harness; record whether intent or output changes.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3.  </w:t>
      </w:r>
      <w:r>
        <w:rPr>
          <w:rFonts w:ascii="Arial" w:hAnsi="Arial"/>
          <w:color w:val="111827"/>
          <w:sz w:val="18"/>
        </w:rPr>
        <w:t>Run the indirect document/email variant and identify the exact carrier, trigger, interpreted instruction and proposed effect.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4.  </w:t>
      </w:r>
      <w:r>
        <w:rPr>
          <w:rFonts w:ascii="Arial" w:hAnsi="Arial"/>
          <w:color w:val="111827"/>
          <w:sz w:val="18"/>
        </w:rPr>
        <w:t>Run the context-file and cross-modal variants only with the supplied synthetic files; never upload real customer data.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5.  </w:t>
      </w:r>
      <w:r>
        <w:rPr>
          <w:rFonts w:ascii="Arial" w:hAnsi="Arial"/>
          <w:color w:val="111827"/>
          <w:sz w:val="18"/>
        </w:rPr>
        <w:t>Record attack success separately from refusal, false-positive and clean-task success rates.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6.  </w:t>
      </w:r>
      <w:r>
        <w:rPr>
          <w:rFonts w:ascii="Arial" w:hAnsi="Arial"/>
          <w:color w:val="111827"/>
          <w:sz w:val="18"/>
        </w:rPr>
        <w:t>Replace prompt-only protection with structural controls: trusted recipient binding, tool schema validation, retrieval isolation and action approval.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7.  </w:t>
      </w:r>
      <w:r>
        <w:rPr>
          <w:rFonts w:ascii="Arial" w:hAnsi="Arial"/>
          <w:color w:val="111827"/>
          <w:sz w:val="18"/>
        </w:rPr>
        <w:t>Re-run the same variant set and compare evidence, including useful-task degradation and operational friction.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8.  </w:t>
      </w:r>
      <w:r>
        <w:rPr>
          <w:rFonts w:ascii="Arial" w:hAnsi="Arial"/>
          <w:color w:val="111827"/>
          <w:sz w:val="18"/>
        </w:rPr>
        <w:t>Apply the current PDPA significant-harm and significant-scale decision tests; document facts still needed and do not assume every leak is notifiable.</w:t>
      </w:r>
    </w:p>
    <w:p>
      <w:pPr>
        <w:keepNext w:val="0"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9.  </w:t>
      </w:r>
      <w:r>
        <w:rPr>
          <w:rFonts w:ascii="Arial" w:hAnsi="Arial"/>
          <w:color w:val="111827"/>
          <w:sz w:val="18"/>
        </w:rPr>
        <w:t>Recommend a reduced-mode, conditional or halted posture and name the evidence needed to restore capability.</w:t>
      </w:r>
    </w:p>
    <w:p>
      <w:pPr>
        <w:pStyle w:val="Heading3"/>
      </w:pPr>
      <w:r>
        <w:t>Required evidence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Baseline and variant test log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Source-to-sink chain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ASR/false-positive/clean-task comparison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PDPA decision record</w:t>
      </w:r>
    </w:p>
    <w:p>
      <w:pPr>
        <w:pStyle w:val="ListBullet"/>
        <w:keepNext w:val="0"/>
        <w:keepLines/>
        <w:spacing w:after="60"/>
      </w:pPr>
      <w:r>
        <w:rPr>
          <w:rFonts w:ascii="Arial" w:hAnsi="Arial"/>
          <w:color w:val="111827"/>
          <w:sz w:val="18"/>
        </w:rPr>
        <w:t>Prioritised remediation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ACCEPTANCE CRITERIA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The clean baseline and every supplied synthetic variant are logged against the same deterministic policy; attack success, false positives and clean-task success are reported separately; the PDPA record separates significant harm, significant scale, information gaps and the resulting decision.</w:t>
            </w:r>
          </w:p>
        </w:tc>
      </w:tr>
    </w:tbl>
    <w:p>
      <w:r>
        <w:br w:type="page"/>
      </w:r>
    </w:p>
    <w:p>
      <w:pPr>
        <w:pStyle w:val="Heading2"/>
      </w:pPr>
      <w:r>
        <w:t>Activity 3 — Selecting a Security Framework for GenAI and Agents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Duration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60 minutes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Folder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activities/activity-3-security-framework-selection/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Evidence status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SIM — all deployment details and performance data are fictional classroom material.</w:t>
            </w:r>
          </w:p>
        </w:tc>
      </w:tr>
    </w:tbl>
    <w:p>
      <w:pPr>
        <w:spacing w:after="80"/>
      </w:pPr>
    </w:p>
    <w:p>
      <w:pPr>
        <w:pStyle w:val="Heading3"/>
      </w:pPr>
      <w:r>
        <w:t>Step-by-step procedure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1.  </w:t>
      </w:r>
      <w:r>
        <w:rPr>
          <w:rFonts w:ascii="Arial" w:hAnsi="Arial"/>
          <w:color w:val="111827"/>
          <w:sz w:val="18"/>
        </w:rPr>
        <w:t>Classify NIST AI RMF, OWASP LLM Top 10, OWASP Agentic Top 10, MITRE ATLAS, IMDA and PDPA by the question each answers.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2.  </w:t>
      </w:r>
      <w:r>
        <w:rPr>
          <w:rFonts w:ascii="Arial" w:hAnsi="Arial"/>
          <w:color w:val="111827"/>
          <w:sz w:val="18"/>
        </w:rPr>
        <w:t>Separate the generative component from the acting component and record their data, tools, identity, state and autonomy.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3.  </w:t>
      </w:r>
      <w:r>
        <w:rPr>
          <w:rFonts w:ascii="Arial" w:hAnsi="Arial"/>
          <w:color w:val="111827"/>
          <w:sz w:val="18"/>
        </w:rPr>
        <w:t>Map threats to OWASP categories and ATLAS techniques without claiming the taxonomies are controls.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4.  </w:t>
      </w:r>
      <w:r>
        <w:rPr>
          <w:rFonts w:ascii="Arial" w:hAnsi="Arial"/>
          <w:color w:val="111827"/>
          <w:sz w:val="18"/>
        </w:rPr>
        <w:t>Map lifecycle actions to Govern, Map, Measure and Manage; name an owner and evidence artifact for each.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5.  </w:t>
      </w:r>
      <w:r>
        <w:rPr>
          <w:rFonts w:ascii="Arial" w:hAnsi="Arial"/>
          <w:color w:val="111827"/>
          <w:sz w:val="18"/>
        </w:rPr>
        <w:t>Map higher-impact or irreversible actions to IMDA-aligned autonomy limits and meaningful human approval.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6.  </w:t>
      </w:r>
      <w:r>
        <w:rPr>
          <w:rFonts w:ascii="Arial" w:hAnsi="Arial"/>
          <w:color w:val="111827"/>
          <w:sz w:val="18"/>
        </w:rPr>
        <w:t>Apply PDPA obligations where personal data is collected, used, disclosed, retained, transferred or breached.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7.  </w:t>
      </w:r>
      <w:r>
        <w:rPr>
          <w:rFonts w:ascii="Arial" w:hAnsi="Arial"/>
          <w:color w:val="111827"/>
          <w:sz w:val="18"/>
        </w:rPr>
        <w:t>Interpret attack success, false positives, clean-task success and segment results together; show calculation assumptions.</w:t>
      </w:r>
    </w:p>
    <w:p>
      <w:pPr>
        <w:keepNext w:val="0"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8.  </w:t>
      </w:r>
      <w:r>
        <w:rPr>
          <w:rFonts w:ascii="Arial" w:hAnsi="Arial"/>
          <w:color w:val="111827"/>
          <w:sz w:val="18"/>
        </w:rPr>
        <w:t>Define organisation-specific go-live thresholds, re-test triggers and a conditional go/no-go decision.</w:t>
      </w:r>
    </w:p>
    <w:p>
      <w:pPr>
        <w:pStyle w:val="Heading3"/>
      </w:pPr>
      <w:r>
        <w:t>Required evidence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Framework-purpose matrix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Component-threat-control map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Metric calculations</w:t>
      </w:r>
    </w:p>
    <w:p>
      <w:pPr>
        <w:pStyle w:val="ListBullet"/>
        <w:keepNext w:val="0"/>
        <w:keepLines/>
        <w:spacing w:after="60"/>
      </w:pPr>
      <w:r>
        <w:rPr>
          <w:rFonts w:ascii="Arial" w:hAnsi="Arial"/>
          <w:color w:val="111827"/>
          <w:sz w:val="18"/>
        </w:rPr>
        <w:t>Go-live gate with owners and re-test triggers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ACCEPTANCE CRITERIA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Each framework question is answered correctly; both operating layers are mapped; every go-live condition has a metric, organisation-defined threshold, owner, test method and re-test trigger rather than being presented as a universal fact.</w:t>
            </w:r>
          </w:p>
        </w:tc>
      </w:tr>
    </w:tbl>
    <w:p>
      <w:r>
        <w:br w:type="page"/>
      </w:r>
    </w:p>
    <w:p>
      <w:pPr>
        <w:pStyle w:val="Heading2"/>
      </w:pPr>
      <w:r>
        <w:t>Activity 4 — Evidence-Based Rogue Agent Incident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Duration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60 minutes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Folder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activities/activity-4-rogue-agent-incident-review/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Evidence status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CASE-V and CASE-R — preserve the label, source date and stated limitations for every case.</w:t>
            </w:r>
          </w:p>
        </w:tc>
      </w:tr>
    </w:tbl>
    <w:p>
      <w:pPr>
        <w:spacing w:after="80"/>
      </w:pPr>
    </w:p>
    <w:p>
      <w:pPr>
        <w:pStyle w:val="Heading3"/>
      </w:pPr>
      <w:r>
        <w:t>Step-by-step procedure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1.  </w:t>
      </w:r>
      <w:r>
        <w:rPr>
          <w:rFonts w:ascii="Arial" w:hAnsi="Arial"/>
          <w:color w:val="111827"/>
          <w:sz w:val="18"/>
        </w:rPr>
        <w:t>Choose EchoLeak, the Amazon Q extension event, the Replit application-database incident or the reported ClawHavoc campaign.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2.  </w:t>
      </w:r>
      <w:r>
        <w:rPr>
          <w:rFonts w:ascii="Arial" w:hAnsi="Arial"/>
          <w:color w:val="111827"/>
          <w:sz w:val="18"/>
        </w:rPr>
        <w:t>Record the source, publication date, evidence class and exact supported claim before analysis.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3.  </w:t>
      </w:r>
      <w:r>
        <w:rPr>
          <w:rFonts w:ascii="Arial" w:hAnsi="Arial"/>
          <w:color w:val="111827"/>
          <w:sz w:val="18"/>
        </w:rPr>
        <w:t>Separate normal capability, vulnerability or control failure, and observed impact.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4.  </w:t>
      </w:r>
      <w:r>
        <w:rPr>
          <w:rFonts w:ascii="Arial" w:hAnsi="Arial"/>
          <w:color w:val="111827"/>
          <w:sz w:val="18"/>
        </w:rPr>
        <w:t>Map the untrusted source, interpretation mechanism, identity or permission, privileged sink and effect.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5.  </w:t>
      </w:r>
      <w:r>
        <w:rPr>
          <w:rFonts w:ascii="Arial" w:hAnsi="Arial"/>
          <w:color w:val="111827"/>
          <w:sz w:val="18"/>
        </w:rPr>
        <w:t>For skills, plugins and MCP servers, review provenance, publisher, version, update channel, requested capabilities and bundled code.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6.  </w:t>
      </w:r>
      <w:r>
        <w:rPr>
          <w:rFonts w:ascii="Arial" w:hAnsi="Arial"/>
          <w:color w:val="111827"/>
          <w:sz w:val="18"/>
        </w:rPr>
        <w:t>Choose one preventive and one detective or recovery control at the earliest feasible chain point.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7.  </w:t>
      </w:r>
      <w:r>
        <w:rPr>
          <w:rFonts w:ascii="Arial" w:hAnsi="Arial"/>
          <w:color w:val="111827"/>
          <w:sz w:val="18"/>
        </w:rPr>
        <w:t>Define the approval screen: exact action, target, data, scope, destination, reversibility and evidence shown to the reviewer.</w:t>
      </w:r>
    </w:p>
    <w:p>
      <w:pPr>
        <w:keepNext w:val="0"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8.  </w:t>
      </w:r>
      <w:r>
        <w:rPr>
          <w:rFonts w:ascii="Arial" w:hAnsi="Arial"/>
          <w:color w:val="111827"/>
          <w:sz w:val="18"/>
        </w:rPr>
        <w:t>Present the reconstruction without converting research demonstrations into production breaches or reported counts into current prevalence.</w:t>
      </w:r>
    </w:p>
    <w:p>
      <w:pPr>
        <w:pStyle w:val="Heading3"/>
      </w:pPr>
      <w:r>
        <w:t>Required evidence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Evidence card for each case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Source-to-sink chain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Skill/plugin/MCP supply-chain review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Preventive and recovery controls</w:t>
      </w:r>
    </w:p>
    <w:p>
      <w:pPr>
        <w:pStyle w:val="ListBullet"/>
        <w:keepNext w:val="0"/>
        <w:keepLines/>
        <w:spacing w:after="60"/>
      </w:pPr>
      <w:r>
        <w:rPr>
          <w:rFonts w:ascii="Arial" w:hAnsi="Arial"/>
          <w:color w:val="111827"/>
          <w:sz w:val="18"/>
        </w:rPr>
        <w:t>Residual-risk statement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ACCEPTANCE CRITERIA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Each of the four cases has a source, date, evidence label, source-to-sink chain, supported and unsupported claim, preventive control, detective or recovery control and residual risk; the Amazon Q code is stated as not executed, Replit as restored with no data loss, and campaign figures retain their dated-method limitations; one skill, plugin or MCP server receives an explicit gate decision.</w:t>
            </w:r>
          </w:p>
        </w:tc>
      </w:tr>
    </w:tbl>
    <w:p>
      <w:r>
        <w:br w:type="page"/>
      </w:r>
    </w:p>
    <w:p>
      <w:pPr>
        <w:pStyle w:val="Heading2"/>
      </w:pPr>
      <w:r>
        <w:t>Activity 5 — Agent Governance and the Deployment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Duration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25 minutes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Folder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activities/activity-5-agent-governance-deployment-gate/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6"/>
              </w:rPr>
              <w:t>Evidence status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6"/>
              </w:rPr>
              <w:t>SIM — the bank, customers, metrics, volumes and outcomes are fictional.</w:t>
            </w:r>
          </w:p>
        </w:tc>
      </w:tr>
    </w:tbl>
    <w:p>
      <w:pPr>
        <w:spacing w:after="80"/>
      </w:pPr>
    </w:p>
    <w:p>
      <w:pPr>
        <w:pStyle w:val="Heading3"/>
      </w:pPr>
      <w:r>
        <w:t>Step-by-step procedure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1.  </w:t>
      </w:r>
      <w:r>
        <w:rPr>
          <w:rFonts w:ascii="Arial" w:hAnsi="Arial"/>
          <w:color w:val="111827"/>
          <w:sz w:val="18"/>
        </w:rPr>
        <w:t>Read aggregate and segment results; identify what the aggregate hides and verify every calculation.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2.  </w:t>
      </w:r>
      <w:r>
        <w:rPr>
          <w:rFonts w:ascii="Arial" w:hAnsi="Arial"/>
          <w:color w:val="111827"/>
          <w:sz w:val="18"/>
        </w:rPr>
        <w:t>Map personal-data purpose, notification, protection, retention, transfer and breach-response obligations.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3.  </w:t>
      </w:r>
      <w:r>
        <w:rPr>
          <w:rFonts w:ascii="Arial" w:hAnsi="Arial"/>
          <w:color w:val="111827"/>
          <w:sz w:val="18"/>
        </w:rPr>
        <w:t>Classify each action as agent-alone, human approval required or prohibited, based on impact and reversibility.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4.  </w:t>
      </w:r>
      <w:r>
        <w:rPr>
          <w:rFonts w:ascii="Arial" w:hAnsi="Arial"/>
          <w:color w:val="111827"/>
          <w:sz w:val="18"/>
        </w:rPr>
        <w:t>For every approval, specify the exact action, target, data, destination, evidence and rollback shown to the reviewer.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5.  </w:t>
      </w:r>
      <w:r>
        <w:rPr>
          <w:rFonts w:ascii="Arial" w:hAnsi="Arial"/>
          <w:color w:val="111827"/>
          <w:sz w:val="18"/>
        </w:rPr>
        <w:t>Confirm guardrails, identity scopes, sandbox, egress, memory provenance, logging, monitoring, kill switch and recovery evidence.</w:t>
      </w:r>
    </w:p>
    <w:p>
      <w:pPr>
        <w:keepNext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6.  </w:t>
      </w:r>
      <w:r>
        <w:rPr>
          <w:rFonts w:ascii="Arial" w:hAnsi="Arial"/>
          <w:color w:val="111827"/>
          <w:sz w:val="18"/>
        </w:rPr>
        <w:t>State go, conditional go or no-go; name accountable owner, unmet conditions, review date and release evidence.</w:t>
      </w:r>
    </w:p>
    <w:p>
      <w:pPr>
        <w:keepNext w:val="0"/>
        <w:keepLines/>
        <w:spacing w:after="60"/>
        <w:ind w:left="576" w:hanging="576"/>
      </w:pPr>
      <w:r>
        <w:rPr>
          <w:rFonts w:ascii="Arial" w:hAnsi="Arial"/>
          <w:b/>
          <w:color w:val="1F6FEB"/>
          <w:sz w:val="18"/>
        </w:rPr>
        <w:t xml:space="preserve">7.  </w:t>
      </w:r>
      <w:r>
        <w:rPr>
          <w:rFonts w:ascii="Arial" w:hAnsi="Arial"/>
          <w:color w:val="111827"/>
          <w:sz w:val="18"/>
        </w:rPr>
        <w:t>Describe the user notice, challenge route, human escalation and remedy for an affected person.</w:t>
      </w:r>
    </w:p>
    <w:p>
      <w:pPr>
        <w:pStyle w:val="Heading3"/>
      </w:pPr>
      <w:r>
        <w:t>Required evidence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Segment-risk interpretation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Data and autonomy inventory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Approval matrix</w:t>
      </w:r>
    </w:p>
    <w:p>
      <w:pPr>
        <w:pStyle w:val="ListBullet"/>
        <w:keepNext/>
        <w:keepLines/>
        <w:spacing w:after="60"/>
      </w:pPr>
      <w:r>
        <w:rPr>
          <w:rFonts w:ascii="Arial" w:hAnsi="Arial"/>
          <w:color w:val="111827"/>
          <w:sz w:val="18"/>
        </w:rPr>
        <w:t>Named accountable owner</w:t>
      </w:r>
    </w:p>
    <w:p>
      <w:pPr>
        <w:pStyle w:val="ListBullet"/>
        <w:keepNext w:val="0"/>
        <w:keepLines/>
        <w:spacing w:after="60"/>
      </w:pPr>
      <w:r>
        <w:rPr>
          <w:rFonts w:ascii="Arial" w:hAnsi="Arial"/>
          <w:color w:val="111827"/>
          <w:sz w:val="18"/>
        </w:rPr>
        <w:t>Testable deployment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3FB"/>
          </w:tcPr>
          <w:p>
            <w:pPr>
              <w:keepNext w:val="0"/>
              <w:keepLines/>
            </w:pPr>
            <w:r/>
            <w:r>
              <w:rPr>
                <w:rFonts w:ascii="Arial" w:hAnsi="Arial"/>
                <w:b/>
                <w:color w:val="1F6FEB"/>
                <w:sz w:val="19"/>
              </w:rPr>
              <w:t>ACCEPTANCE CRITERIA</w:t>
            </w:r>
          </w:p>
          <w:p>
            <w:pPr>
              <w:keepNext w:val="0"/>
              <w:keepLines/>
            </w:pPr>
            <w:r>
              <w:rPr>
                <w:rFonts w:ascii="Arial" w:hAnsi="Arial"/>
                <w:color w:val="111827"/>
                <w:sz w:val="20"/>
              </w:rPr>
              <w:t>All calculations are reproducible from the SIM data; all ten capabilities are classified; every irreversible or high-impact action is prohibited or behind deterministic approval; every condition has an owner, test, expiry or review date and re-test trigger; affected people have a human review and remedy route.</w:t>
            </w:r>
          </w:p>
        </w:tc>
      </w:tr>
    </w:tbl>
    <w:p>
      <w:r>
        <w:br w:type="page"/>
      </w:r>
    </w:p>
    <w:p>
      <w:pPr>
        <w:pStyle w:val="Heading1"/>
      </w:pPr>
      <w:r>
        <w:t>Operational Best-Practice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Gate</w:t>
            </w:r>
          </w:p>
        </w:tc>
        <w:tc>
          <w:tcPr>
            <w:tcW w:type="dxa" w:w="4320"/>
            <w:shd w:val="clear" w:color="auto" w:fill="1F6FEB"/>
          </w:tcPr>
          <w:p>
            <w:pPr>
              <w:keepNext/>
              <w:keepLines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Minimum evidence before approval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Own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Named business owner, technical owner, risk owner and incident owner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Purpose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Documented intended use, excluded uses, affected people and appeal route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Data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Sources, writers, personal-data purpose, minimisation, retention, deletion and transfers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Content trust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Untrusted-content map, provenance, ingestion review and prompt-injection test set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Identity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Dedicated agent identity, least privilege, short-lived credentials and revocation path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Tools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Allowlisted tools, constrained schemas, parameter validation and bounded action scope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Runtime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Sandbox, filesystem boundary, resource quotas and no privilege escalation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Network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Default-deny egress, named destinations, inspection and exception alerts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Human approval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Exact effect, target, data and reversibility shown before high-impact action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Supply chain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Publisher, version pin, signature or checksum, capability review and update re-approval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Memory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Provenance, review status, retention, correction, deletion and poisoning tests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Measure</w:t>
            </w:r>
          </w:p>
        </w:tc>
        <w:tc>
          <w:tcPr>
            <w:tcW w:type="dxa" w:w="4320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Clean-task success, attack success, false positives, unsafe actions and segment results</w:t>
            </w:r>
          </w:p>
        </w:tc>
      </w:tr>
      <w:tr>
        <w:trPr>
          <w:cantSplit/>
        </w:trPr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Operate</w:t>
            </w:r>
          </w:p>
        </w:tc>
        <w:tc>
          <w:tcPr>
            <w:tcW w:type="dxa" w:w="4320"/>
            <w:shd w:val="clear" w:color="auto" w:fill="F5F8FC"/>
          </w:tcPr>
          <w:p>
            <w:pPr>
              <w:keepNext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Traceable logs, monitoring, kill switch, credential revoke, rollback and recovery test</w:t>
            </w:r>
          </w:p>
        </w:tc>
      </w:tr>
      <w:tr>
        <w:trPr>
          <w:cantSplit/>
        </w:trPr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8"/>
              </w:rPr>
              <w:t>Change</w:t>
            </w:r>
          </w:p>
        </w:tc>
        <w:tc>
          <w:tcPr>
            <w:tcW w:type="dxa" w:w="4320"/>
          </w:tcPr>
          <w:p>
            <w:pPr>
              <w:keepNext w:val="0"/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8"/>
              </w:rPr>
              <w:t>Re-test on model, prompt, corpus, tool, skill, identity, runtime or policy change</w:t>
            </w:r>
          </w:p>
        </w:tc>
      </w:tr>
    </w:tbl>
    <w:p>
      <w:r>
        <w:br w:type="page"/>
      </w:r>
    </w:p>
    <w:p>
      <w:pPr>
        <w:pStyle w:val="Heading1"/>
      </w:pPr>
      <w:r>
        <w:t>Source Register</w:t>
      </w:r>
    </w:p>
    <w:p>
      <w:pPr>
        <w:spacing w:after="160"/>
      </w:pPr>
      <w:r>
        <w:rPr>
          <w:rFonts w:ascii="Arial" w:hAnsi="Arial"/>
          <w:b w:val="0"/>
          <w:i w:val="0"/>
          <w:color w:val="111827"/>
          <w:sz w:val="22"/>
        </w:rPr>
        <w:t>Access dates should be recorded by the trainer or course owner when the package is refreshed. Where a product page changes, the deployed version and configuration remain part of the evidence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  <w:shd w:val="clear" w:color="auto" w:fill="1F6FEB"/>
          </w:tcPr>
          <w:p>
            <w:pPr>
              <w:keepLines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Lines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2880"/>
            <w:shd w:val="clear" w:color="auto" w:fill="1F6FEB"/>
          </w:tcPr>
          <w:p>
            <w:pPr>
              <w:keepLines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URL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S01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Turing, Computing Machinery and Intelligence (1950)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https://academic.oup.com/mind/article/LIX/236/433/986238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S02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Dartmouth Summer Research Project on AI proposal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http://jmc.stanford.edu/articles/dartmouth/dartmouth.pdf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S03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NIST, Reflections on Artificial Intelligence in Engineering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https://tsapps.nist.gov/publication/get_pdf.cfm?pub_id=822351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S04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Krizhevsky et al., ImageNet Classification with Deep CNNs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https://papers.nips.cc/paper/4824-imagenet-classification-with-deep-convolutional-neural-networks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S05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Vaswani et al., Attention Is All You Need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https://arxiv.org/abs/1706.03762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S06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Brown et al., Language Models are Few-Shot Learners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https://arxiv.org/abs/2005.14165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S07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Ouyang et al., Training language models to follow instructions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https://arxiv.org/abs/2203.02155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S08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Stanford AI Index Report 2023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https://hai.stanford.edu/assets/files/hai_ai-index-report_2023.pdf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S09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NIST AI 600-1, Generative AI Profile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https://www.nist.gov/publications/artificial-intelligence-risk-management-framework-generative-artificial-intelligence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S10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NIST AI Risk Management Framework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https://www.nist.gov/itl/ai-risk-management-framework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S11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OWASP Top 10 for LLM Applications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https://genai.owasp.org/llm-top-10/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S12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OWASP Top 10 for Agentic Applications 2026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https://genai.owasp.org/resource/owasp-top-10-for-agentic-applications-for-2026/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S13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MITRE ATLAS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https://atlas.mitre.org/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S14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IMDA Model AI Governance Framework for Agentic AI v1.5 (updated 5 Jun 2026)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https://www.imda.gov.sg/-/media/imda/files/about/emerging-tech-and-research/artificial-intelligence/mgf-for-agentic-ai.pdf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S15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PDPC Advisory Guidelines on Key Concepts in the PDPA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https://www.pdpc.gov.sg/guidelines-and-consultation/2020/03/advisory-guidelines-on-key-concepts-in-the-personal-data-protection-act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S16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PDPC Guide on Managing and Notifying Data Breaches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https://www.pdpc.gov.sg/help-and-resources/2021/05/guide-on-managing-and-notifying-data-breaches-under-the-pdpa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S17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OpenClaw Gateway Security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https://docs.openclaw.ai/gateway/security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S18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Hermes Agent documentation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https://hermes-agent.nousresearch.com/docs/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S19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Hermes Agent Security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https://hermes-agent.nousresearch.com/docs/user-guide/security/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S20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Anthropic — Claude Code sandboxing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https://www.anthropic.com/engineering/claude-code-sandboxing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S21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Codex sandboxing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https://learn.chatgpt.com/docs/sandboxing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S22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agent approvals and security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https://learn.chatgpt.com/docs/agent-approvals-security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S23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DeepSeek-V3 official repository and model card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https://github.com/deepseek-ai/DeepSeek-V3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S24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Model Context Protocol documentation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https://modelcontextprotocol.io/docs/getting-started/intro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S25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Aim Labs, EchoLeak research disclosure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https://www.aim.security/lp/aim-labs-echoleak-blogpost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S26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Invariant Labs, GitHub MCP prompt-injection research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https://invariantlabs.ai/blog/mcp-github-vulnerability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S27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Moffatt v Air Canada, 2024 BCCRT 149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https://www.canlii.org/en/bc/bccrt/doc/2024/2024bccrt149/2024bccrt149.html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S28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skills and plugins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https://learn.chatgpt.com/docs/skills-and-plugins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S29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Anthropic Model Context Protocol overview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https://docs.anthropic.com/en/docs/mcp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S30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Codex cloud internet access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https://learn.chatgpt.com/docs/cloud/internet-access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S31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AGENTS.md project instructions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https://learn.chatgpt.com/docs/agent-configuration/agents-md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S32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OpenAI — ChatGPT Work overview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https://learn.chatgpt.com/docs/enterprise/chatgpt-work-overview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S34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Prime Intellect — Prime Agent repository and launch documentation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https://github.com/PrimeIntellect-ai/prime-agent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S35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QM — official repository and security policy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https://github.com/yc-software/qm/security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S36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DeepSeek Harness — official developer-preview repository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https://github.com/deepseek-ai/deepseek-harness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S37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Koi Security — ClawHavoc reported malicious-skill campaign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https://www.koi.ai/blog/clawhavoc-341-malicious-clawedbot-skills-found-by-the-bot-they-were-targeting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S38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AWS Security Bulletin AWS-2025-015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https://aws.amazon.com/security/security-bulletins/AWS-2025-015/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S39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Replit — application database incident and remediation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https://replit.com/blog/doubling-down-on-our-commitment-to-secure-vibe-coding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S40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Microsoft — EchoLeak security context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https://www.microsoft.com/en-us/security/security-insider/emerging-trends/ai-application-security-considerations-for-organizations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S41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MCP authorisation specification (2025-06-18)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https://modelcontextprotocol.io/specification/2025-06-18/basic/authorization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S42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PDPC proposed GenAI consultation text (2 Jun 2026)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https://files.app.optical.gov.sg/pdpc/production/assets/6bb79f5a-6f1c-484f-8ed0-91cb64c93abd.pdf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S43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Anthropic — Claude Code permission modes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https://code.claude.com/docs/en/permission-modes</w:t>
            </w:r>
          </w:p>
        </w:tc>
      </w:tr>
      <w:tr>
        <w:trPr>
          <w:cantSplit/>
        </w:trPr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S44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Anthropic — Claude Code memory and CLAUDE.md</w:t>
            </w:r>
          </w:p>
        </w:tc>
        <w:tc>
          <w:tcPr>
            <w:tcW w:type="dxa" w:w="2880"/>
            <w:shd w:val="clear" w:color="auto" w:fill="F5F8FC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https://code.claude.com/docs/en/memory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/>
                <w:color w:val="111827"/>
                <w:sz w:val="14"/>
              </w:rPr>
              <w:t>S45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QM — official repository README</w:t>
            </w:r>
          </w:p>
        </w:tc>
        <w:tc>
          <w:tcPr>
            <w:tcW w:type="dxa" w:w="2880"/>
          </w:tcPr>
          <w:p>
            <w:pPr>
              <w:keepLines/>
              <w:spacing w:after="0"/>
            </w:pPr>
            <w:r/>
            <w:r>
              <w:rPr>
                <w:rFonts w:ascii="Arial" w:hAnsi="Arial"/>
                <w:b w:val="0"/>
                <w:color w:val="111827"/>
                <w:sz w:val="14"/>
              </w:rPr>
              <w:t>https://github.com/yc-software/qm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This material belongs to Tertiary Infotech Pte Ltd (UEN: 20120096W).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