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20120096W</w:t>
      </w:r>
    </w:p>
    <w:p>
      <w:pPr>
        <w:spacing w:before="0" w:after="80"/>
        <w:jc w:val="center"/>
      </w:pPr>
      <w:r>
        <w:rPr>
          <w:b/>
          <w:color w:val="1F6FEB"/>
          <w:sz w:val="24"/>
        </w:rPr>
        <w:t>Version 3.0</w:t>
      </w:r>
    </w:p>
    <w:p>
      <w:r>
        <w:br w:type="page"/>
      </w:r>
    </w:p>
    <w:p>
      <w:pPr>
        <w:pStyle w:val="Heading1"/>
      </w:pPr>
      <w:r>
        <w:t>Document Version Control Record</w:t>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 — Core Principles and Ethical Challenges in Generative AI.</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generative-AI and autonomous-agent security; five activities and revised assessments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practice, PDPA and organisational checklists, human approval, skill/plugin controls and enhanced visuals.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Rebuilt as a 207-slide evidence-grounded progression from AI history to product boundaries, cases, controls and governance. Activities reordered; unverified claims removed. TSC K/A text unchanged.</w:t>
            </w:r>
          </w:p>
        </w:tc>
        <w:tc>
          <w:tcPr>
            <w:tcW w:type="dxa" w:w="2160"/>
          </w:tcPr>
          <w:p>
            <w:r/>
            <w:r>
              <w:rPr>
                <w:sz w:val="19"/>
              </w:rPr>
              <w:t>Dr Alfred Ang</w:t>
            </w:r>
          </w:p>
        </w:tc>
      </w:tr>
    </w:tbl>
    <w:p>
      <w:r>
        <w:br w:type="page"/>
      </w:r>
    </w:p>
    <w:p>
      <w:pPr>
        <w:pStyle w:val="Heading1"/>
      </w:pPr>
      <w:r>
        <w:t>Table of Contents</w:t>
      </w:r>
    </w:p>
    <w:p>
      <w:pPr>
        <w:spacing w:after="120"/>
      </w:pPr>
      <w:r>
        <w:rPr>
          <w:rFonts w:ascii="Arial" w:hAnsi="Arial"/>
          <w:b w:val="0"/>
          <w:color w:val="555B66"/>
          <w:sz w:val="19"/>
        </w:rPr>
        <w:t>Generated contents for the fixed v3.0 pagination.</w:t>
      </w:r>
    </w:p>
    <w:tbl>
      <w:tblPr>
        <w:tblStyle w:val="TableGrid"/>
        <w:tblW w:type="auto" w:w="0"/>
        <w:tblLook w:firstColumn="1" w:firstRow="1" w:lastColumn="0" w:lastRow="0" w:noHBand="0" w:noVBand="1" w:val="04A0"/>
      </w:tblPr>
      <w:tblGrid>
        <w:gridCol w:w="4320"/>
        <w:gridCol w:w="4320"/>
      </w:tblGrid>
      <w:tr>
        <w:trPr>
          <w:cantSplit/>
        </w:trPr>
        <w:tc>
          <w:tcPr>
            <w:tcW w:type="dxa" w:w="8928"/>
            <w:shd w:val="clear" w:color="auto" w:fill="1F6FEB"/>
          </w:tcPr>
          <w:p>
            <w:pPr>
              <w:keepNext/>
              <w:keepLines/>
            </w:pPr>
            <w:r/>
            <w:r>
              <w:rPr>
                <w:rFonts w:ascii="Arial" w:hAnsi="Arial"/>
                <w:b/>
                <w:color w:val="FFFFFF"/>
                <w:sz w:val="20"/>
              </w:rPr>
              <w:t>Section</w:t>
            </w:r>
          </w:p>
        </w:tc>
        <w:tc>
          <w:tcPr>
            <w:tcW w:type="dxa" w:w="1368"/>
            <w:shd w:val="clear" w:color="auto" w:fill="1F6FEB"/>
          </w:tcPr>
          <w:p>
            <w:pPr>
              <w:keepNext/>
              <w:keepLines/>
            </w:pPr>
            <w:r/>
            <w:r>
              <w:rPr>
                <w:rFonts w:ascii="Arial" w:hAnsi="Arial"/>
                <w:b/>
                <w:color w:val="FFFFFF"/>
                <w:sz w:val="20"/>
              </w:rPr>
              <w:t>Page</w:t>
            </w:r>
          </w:p>
        </w:tc>
      </w:tr>
      <w:tr>
        <w:trPr>
          <w:cantSplit/>
        </w:trPr>
        <w:tc>
          <w:tcPr>
            <w:tcW w:type="dxa" w:w="8928"/>
          </w:tcPr>
          <w:p>
            <w:pPr>
              <w:keepNext/>
              <w:keepLines/>
            </w:pPr>
            <w:r/>
            <w:r>
              <w:rPr>
                <w:rFonts w:ascii="Arial" w:hAnsi="Arial"/>
                <w:b/>
                <w:sz w:val="19"/>
              </w:rPr>
              <w:t>1. Course Overview</w:t>
            </w:r>
          </w:p>
        </w:tc>
        <w:tc>
          <w:tcPr>
            <w:tcW w:type="dxa" w:w="1368"/>
          </w:tcPr>
          <w:p>
            <w:pPr>
              <w:keepNext/>
              <w:keepLines/>
            </w:pPr>
            <w:r/>
            <w:r>
              <w:rPr>
                <w:rFonts w:ascii="Arial" w:hAnsi="Arial"/>
                <w:b w:val="0"/>
                <w:sz w:val="19"/>
              </w:rPr>
              <w:t>4</w:t>
            </w:r>
          </w:p>
        </w:tc>
      </w:tr>
      <w:tr>
        <w:trPr>
          <w:cantSplit/>
        </w:trPr>
        <w:tc>
          <w:tcPr>
            <w:tcW w:type="dxa" w:w="8928"/>
          </w:tcPr>
          <w:p>
            <w:pPr>
              <w:keepNext/>
              <w:keepLines/>
            </w:pPr>
            <w:r/>
            <w:r>
              <w:rPr>
                <w:rFonts w:ascii="Arial" w:hAnsi="Arial"/>
                <w:b/>
                <w:sz w:val="19"/>
              </w:rPr>
              <w:t>2. Daily Schedule</w:t>
            </w:r>
          </w:p>
        </w:tc>
        <w:tc>
          <w:tcPr>
            <w:tcW w:type="dxa" w:w="1368"/>
          </w:tcPr>
          <w:p>
            <w:pPr>
              <w:keepNext/>
              <w:keepLines/>
            </w:pPr>
            <w:r/>
            <w:r>
              <w:rPr>
                <w:rFonts w:ascii="Arial" w:hAnsi="Arial"/>
                <w:b w:val="0"/>
                <w:sz w:val="19"/>
              </w:rPr>
              <w:t>6</w:t>
            </w:r>
          </w:p>
        </w:tc>
      </w:tr>
      <w:tr>
        <w:trPr>
          <w:cantSplit/>
        </w:trPr>
        <w:tc>
          <w:tcPr>
            <w:tcW w:type="dxa" w:w="8928"/>
          </w:tcPr>
          <w:p>
            <w:pPr>
              <w:keepNext/>
              <w:keepLines/>
            </w:pPr>
            <w:r/>
            <w:r>
              <w:rPr>
                <w:rFonts w:ascii="Arial" w:hAnsi="Arial"/>
                <w:b/>
                <w:sz w:val="19"/>
              </w:rPr>
              <w:t>3. Activities</w:t>
            </w:r>
          </w:p>
        </w:tc>
        <w:tc>
          <w:tcPr>
            <w:tcW w:type="dxa" w:w="1368"/>
          </w:tcPr>
          <w:p>
            <w:pPr>
              <w:keepNext/>
              <w:keepLines/>
            </w:pPr>
            <w:r/>
            <w:r>
              <w:rPr>
                <w:rFonts w:ascii="Arial" w:hAnsi="Arial"/>
                <w:b w:val="0"/>
                <w:sz w:val="19"/>
              </w:rPr>
              <w:t>8</w:t>
            </w:r>
          </w:p>
        </w:tc>
      </w:tr>
      <w:tr>
        <w:trPr>
          <w:cantSplit/>
        </w:trPr>
        <w:tc>
          <w:tcPr>
            <w:tcW w:type="dxa" w:w="8928"/>
          </w:tcPr>
          <w:p>
            <w:pPr>
              <w:keepNext/>
              <w:keepLines/>
            </w:pPr>
            <w:r/>
            <w:r>
              <w:rPr>
                <w:rFonts w:ascii="Arial" w:hAnsi="Arial"/>
                <w:b/>
                <w:sz w:val="19"/>
              </w:rPr>
              <w:t>4. Tools and Resources</w:t>
            </w:r>
          </w:p>
        </w:tc>
        <w:tc>
          <w:tcPr>
            <w:tcW w:type="dxa" w:w="1368"/>
          </w:tcPr>
          <w:p>
            <w:pPr>
              <w:keepNext/>
              <w:keepLines/>
            </w:pPr>
            <w:r/>
            <w:r>
              <w:rPr>
                <w:rFonts w:ascii="Arial" w:hAnsi="Arial"/>
                <w:b w:val="0"/>
                <w:sz w:val="19"/>
              </w:rPr>
              <w:t>8</w:t>
            </w:r>
          </w:p>
        </w:tc>
      </w:tr>
      <w:tr>
        <w:trPr>
          <w:cantSplit/>
        </w:trPr>
        <w:tc>
          <w:tcPr>
            <w:tcW w:type="dxa" w:w="8928"/>
          </w:tcPr>
          <w:p>
            <w:pPr>
              <w:keepNext w:val="0"/>
              <w:keepLines/>
            </w:pPr>
            <w:r/>
            <w:r>
              <w:rPr>
                <w:rFonts w:ascii="Arial" w:hAnsi="Arial"/>
                <w:b/>
                <w:sz w:val="19"/>
              </w:rPr>
              <w:t>5. Assessment</w:t>
            </w:r>
          </w:p>
        </w:tc>
        <w:tc>
          <w:tcPr>
            <w:tcW w:type="dxa" w:w="1368"/>
          </w:tcPr>
          <w:p>
            <w:pPr>
              <w:keepNext w:val="0"/>
              <w:keepLines/>
            </w:pPr>
            <w:r/>
            <w:r>
              <w:rPr>
                <w:rFonts w:ascii="Arial" w:hAnsi="Arial"/>
                <w:b w:val="0"/>
                <w:sz w:val="19"/>
              </w:rPr>
              <w:t>9</w:t>
            </w:r>
          </w:p>
        </w:tc>
      </w:tr>
    </w:tbl>
    <w:p>
      <w:r>
        <w:br w:type="page"/>
      </w:r>
    </w:p>
    <w:p>
      <w:pPr>
        <w:pStyle w:val="Heading1"/>
      </w:pPr>
      <w:r>
        <w:t>1. Course Overview</w:t>
      </w:r>
    </w:p>
    <w:p>
      <w:pPr>
        <w:spacing w:after="120"/>
      </w:pPr>
      <w:r>
        <w:rPr>
          <w:rFonts w:ascii="Arial" w:hAnsi="Arial"/>
          <w:b w:val="0"/>
          <w:color w:val="111827"/>
          <w:sz w:val="22"/>
        </w:rPr>
        <w:t>AI Security for Autonomous AI Agents is a 2 Days · 16 Hours WSQ course that equips learners to identify, analyse and mitigate the security risks introduced by generative AI systems and by autonomous AI agents. The course uses documented cases and clearly labelled realistic simulations, grounded in current security and governance frameworks, including the OWASP Top 10 for LLM Applications (2026), the OWASP Top 10 for Agentic Applications (2026), the NIST AI Risk Management Framework, MITRE ATLAS, the IMDA Model AI Governance Framework for Agentic AI, and Singapore's PDPA and current PDPC guidance. Proposed consultation material is not presented as final law or guidance.</w:t>
      </w:r>
    </w:p>
    <w:p>
      <w:pPr>
        <w:spacing w:after="120"/>
      </w:pPr>
      <w:r>
        <w:rPr>
          <w:rFonts w:ascii="Arial" w:hAnsi="Arial"/>
          <w:b w:val="0"/>
          <w:color w:val="111827"/>
          <w:sz w:val="22"/>
        </w:rPr>
        <w:t>The course covers AI security for BOTH generative AI (prompt injection, data leakage, poisoning, PDPA exposure) and autonomous agents (uncontrolled and destructive execution, tool misuse, agent vulnerabilities and cyber-attack chains).</w:t>
      </w:r>
    </w:p>
    <w:p>
      <w:pPr>
        <w:pStyle w:val="Heading2"/>
      </w:pPr>
      <w:r>
        <w:t>Skills Framework Alignment</w:t>
      </w:r>
    </w:p>
    <w:tbl>
      <w:tblPr>
        <w:tblStyle w:val="TableGrid"/>
        <w:tblW w:type="auto" w:w="0"/>
        <w:tblLook w:firstColumn="1" w:firstRow="1" w:lastColumn="0" w:lastRow="0" w:noHBand="0" w:noVBand="1" w:val="04A0"/>
      </w:tblPr>
      <w:tblGrid>
        <w:gridCol w:w="4320"/>
        <w:gridCol w:w="4320"/>
      </w:tblGrid>
      <w:tr>
        <w:trPr>
          <w:cantSplit/>
        </w:trPr>
        <w:tc>
          <w:tcPr>
            <w:tcW w:type="dxa" w:w="2736"/>
            <w:shd w:val="clear" w:color="auto" w:fill="1F6FEB"/>
          </w:tcPr>
          <w:p>
            <w:pPr>
              <w:keepNext/>
              <w:keepLines/>
            </w:pPr>
            <w:r/>
            <w:r>
              <w:rPr>
                <w:rFonts w:ascii="Arial" w:hAnsi="Arial"/>
                <w:b/>
                <w:color w:val="FFFFFF"/>
                <w:sz w:val="20"/>
              </w:rPr>
              <w:t>Element</w:t>
            </w:r>
          </w:p>
        </w:tc>
        <w:tc>
          <w:tcPr>
            <w:tcW w:type="dxa" w:w="7560"/>
            <w:shd w:val="clear" w:color="auto" w:fill="1F6FEB"/>
          </w:tcPr>
          <w:p>
            <w:pPr>
              <w:keepNext/>
              <w:keepLines/>
            </w:pPr>
            <w:r/>
            <w:r>
              <w:rPr>
                <w:rFonts w:ascii="Arial" w:hAnsi="Arial"/>
                <w:b/>
                <w:color w:val="FFFFFF"/>
                <w:sz w:val="20"/>
              </w:rPr>
              <w:t>Detail</w:t>
            </w:r>
          </w:p>
        </w:tc>
      </w:tr>
      <w:tr>
        <w:trPr>
          <w:cantSplit/>
        </w:trPr>
        <w:tc>
          <w:tcPr>
            <w:tcW w:type="dxa" w:w="2736"/>
          </w:tcPr>
          <w:p>
            <w:pPr>
              <w:keepNext/>
              <w:keepLines/>
            </w:pPr>
            <w:r/>
            <w:r>
              <w:rPr>
                <w:rFonts w:ascii="Arial" w:hAnsi="Arial"/>
                <w:b/>
                <w:sz w:val="19"/>
              </w:rPr>
              <w:t>TSC Title</w:t>
            </w:r>
          </w:p>
        </w:tc>
        <w:tc>
          <w:tcPr>
            <w:tcW w:type="dxa" w:w="7560"/>
          </w:tcPr>
          <w:p>
            <w:pPr>
              <w:keepNext/>
              <w:keepLines/>
            </w:pPr>
            <w:r/>
            <w:r>
              <w:rPr>
                <w:rFonts w:ascii="Arial" w:hAnsi="Arial"/>
                <w:b w:val="0"/>
                <w:sz w:val="19"/>
              </w:rPr>
              <w:t>Generative AI Principles and Applications</w:t>
            </w:r>
          </w:p>
        </w:tc>
      </w:tr>
      <w:tr>
        <w:trPr>
          <w:cantSplit/>
        </w:trPr>
        <w:tc>
          <w:tcPr>
            <w:tcW w:type="dxa" w:w="2736"/>
          </w:tcPr>
          <w:p>
            <w:pPr>
              <w:keepNext/>
              <w:keepLines/>
            </w:pPr>
            <w:r/>
            <w:r>
              <w:rPr>
                <w:rFonts w:ascii="Arial" w:hAnsi="Arial"/>
                <w:b/>
                <w:sz w:val="19"/>
              </w:rPr>
              <w:t>TSC Code</w:t>
            </w:r>
          </w:p>
        </w:tc>
        <w:tc>
          <w:tcPr>
            <w:tcW w:type="dxa" w:w="7560"/>
          </w:tcPr>
          <w:p>
            <w:pPr>
              <w:keepNext/>
              <w:keepLines/>
            </w:pPr>
            <w:r/>
            <w:r>
              <w:rPr>
                <w:rFonts w:ascii="Arial" w:hAnsi="Arial"/>
                <w:b w:val="0"/>
                <w:sz w:val="19"/>
              </w:rPr>
              <w:t>ICT-INT-0052-1.1</w:t>
            </w:r>
          </w:p>
        </w:tc>
      </w:tr>
      <w:tr>
        <w:trPr>
          <w:cantSplit/>
        </w:trPr>
        <w:tc>
          <w:tcPr>
            <w:tcW w:type="dxa" w:w="2736"/>
          </w:tcPr>
          <w:p>
            <w:pPr>
              <w:keepNext/>
              <w:keepLines/>
            </w:pPr>
            <w:r/>
            <w:r>
              <w:rPr>
                <w:rFonts w:ascii="Arial" w:hAnsi="Arial"/>
                <w:b/>
                <w:sz w:val="19"/>
              </w:rPr>
              <w:t>Proficiency Level</w:t>
            </w:r>
          </w:p>
        </w:tc>
        <w:tc>
          <w:tcPr>
            <w:tcW w:type="dxa" w:w="7560"/>
          </w:tcPr>
          <w:p>
            <w:pPr>
              <w:keepNext/>
              <w:keepLines/>
            </w:pPr>
            <w:r/>
            <w:r>
              <w:rPr>
                <w:rFonts w:ascii="Arial" w:hAnsi="Arial"/>
                <w:b w:val="0"/>
                <w:sz w:val="19"/>
              </w:rPr>
              <w:t>Level 1</w:t>
            </w:r>
          </w:p>
        </w:tc>
      </w:tr>
      <w:tr>
        <w:trPr>
          <w:cantSplit/>
        </w:trPr>
        <w:tc>
          <w:tcPr>
            <w:tcW w:type="dxa" w:w="2736"/>
          </w:tcPr>
          <w:p>
            <w:pPr>
              <w:keepNext/>
              <w:keepLines/>
            </w:pPr>
            <w:r/>
            <w:r>
              <w:rPr>
                <w:rFonts w:ascii="Arial" w:hAnsi="Arial"/>
                <w:b/>
                <w:sz w:val="19"/>
              </w:rPr>
              <w:t>Course Code</w:t>
            </w:r>
          </w:p>
        </w:tc>
        <w:tc>
          <w:tcPr>
            <w:tcW w:type="dxa" w:w="7560"/>
          </w:tcPr>
          <w:p>
            <w:pPr>
              <w:keepNext/>
              <w:keepLines/>
            </w:pPr>
            <w:r/>
            <w:r>
              <w:rPr>
                <w:rFonts w:ascii="Arial" w:hAnsi="Arial"/>
                <w:b w:val="0"/>
                <w:sz w:val="19"/>
              </w:rPr>
              <w:t>TGS-2025060473</w:t>
            </w:r>
          </w:p>
        </w:tc>
      </w:tr>
      <w:tr>
        <w:trPr>
          <w:cantSplit/>
        </w:trPr>
        <w:tc>
          <w:tcPr>
            <w:tcW w:type="dxa" w:w="2736"/>
          </w:tcPr>
          <w:p>
            <w:pPr>
              <w:keepNext/>
              <w:keepLines/>
            </w:pPr>
            <w:r/>
            <w:r>
              <w:rPr>
                <w:rFonts w:ascii="Arial" w:hAnsi="Arial"/>
                <w:b/>
                <w:sz w:val="19"/>
              </w:rPr>
              <w:t>Duration</w:t>
            </w:r>
          </w:p>
        </w:tc>
        <w:tc>
          <w:tcPr>
            <w:tcW w:type="dxa" w:w="7560"/>
          </w:tcPr>
          <w:p>
            <w:pPr>
              <w:keepNext/>
              <w:keepLines/>
            </w:pPr>
            <w:r/>
            <w:r>
              <w:rPr>
                <w:rFonts w:ascii="Arial" w:hAnsi="Arial"/>
                <w:b w:val="0"/>
                <w:sz w:val="19"/>
              </w:rPr>
              <w:t>2 Days · 16 Hours</w:t>
            </w:r>
          </w:p>
        </w:tc>
      </w:tr>
      <w:tr>
        <w:trPr>
          <w:cantSplit/>
        </w:trPr>
        <w:tc>
          <w:tcPr>
            <w:tcW w:type="dxa" w:w="2736"/>
          </w:tcPr>
          <w:p>
            <w:pPr>
              <w:keepNext w:val="0"/>
              <w:keepLines/>
            </w:pPr>
            <w:r/>
            <w:r>
              <w:rPr>
                <w:rFonts w:ascii="Arial" w:hAnsi="Arial"/>
                <w:b/>
                <w:sz w:val="19"/>
              </w:rPr>
              <w:t>Delivery</w:t>
            </w:r>
          </w:p>
        </w:tc>
        <w:tc>
          <w:tcPr>
            <w:tcW w:type="dxa" w:w="7560"/>
          </w:tcPr>
          <w:p>
            <w:pPr>
              <w:keepNext w:val="0"/>
              <w:keepLines/>
            </w:pPr>
            <w:r/>
            <w:r>
              <w:rPr>
                <w:rFonts w:ascii="Arial" w:hAnsi="Arial"/>
                <w:b w:val="0"/>
                <w:sz w:val="19"/>
              </w:rPr>
              <w:t>Instructor-led classroom with facilitated case-study activities</w:t>
            </w:r>
          </w:p>
        </w:tc>
      </w:tr>
    </w:tbl>
    <w:p>
      <w:pPr>
        <w:spacing w:after="120"/>
      </w:pPr>
      <w:r>
        <w:rPr>
          <w:rFonts w:ascii="Arial" w:hAnsi="Arial"/>
          <w:b w:val="0"/>
          <w:color w:val="111827"/>
          <w:sz w:val="22"/>
        </w:rPr>
      </w:r>
    </w:p>
    <w:p>
      <w:pPr>
        <w:spacing w:after="120"/>
      </w:pPr>
      <w:r>
        <w:rPr>
          <w:rFonts w:ascii="Arial" w:hAnsi="Arial"/>
          <w:b w:val="0"/>
          <w:color w:val="555B66"/>
          <w:sz w:val="19"/>
        </w:rPr>
        <w:t>Note: the accredited knowledge and ability statements below are reproduced verbatim. They are taught and assessed as accredited; AI security is the delivery context through which each statement is evidenced.</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LO</w:t>
            </w:r>
          </w:p>
        </w:tc>
        <w:tc>
          <w:tcPr>
            <w:tcW w:type="dxa" w:w="9288"/>
            <w:shd w:val="clear" w:color="auto" w:fill="1F6FEB"/>
          </w:tcPr>
          <w:p>
            <w:pPr>
              <w:keepNext/>
              <w:keepLines/>
            </w:pPr>
            <w:r/>
            <w:r>
              <w:rPr>
                <w:rFonts w:ascii="Arial" w:hAnsi="Arial"/>
                <w:b/>
                <w:color w:val="FFFFFF"/>
                <w:sz w:val="20"/>
              </w:rPr>
              <w:t>Learning Outcome</w:t>
            </w:r>
          </w:p>
        </w:tc>
      </w:tr>
      <w:tr>
        <w:trPr>
          <w:cantSplit/>
        </w:trPr>
        <w:tc>
          <w:tcPr>
            <w:tcW w:type="dxa" w:w="1008"/>
          </w:tcPr>
          <w:p>
            <w:pPr>
              <w:keepNext/>
              <w:keepLines/>
            </w:pPr>
            <w:r/>
            <w:r>
              <w:rPr>
                <w:rFonts w:ascii="Arial" w:hAnsi="Arial"/>
                <w:b/>
                <w:sz w:val="19"/>
              </w:rPr>
              <w:t>LO1</w:t>
            </w:r>
          </w:p>
        </w:tc>
        <w:tc>
          <w:tcPr>
            <w:tcW w:type="dxa" w:w="9288"/>
          </w:tcPr>
          <w:p>
            <w:pPr>
              <w:keepNext/>
              <w:keepLines/>
            </w:pPr>
            <w:r/>
            <w:r>
              <w:rPr>
                <w:rFonts w:ascii="Arial" w:hAnsi="Arial"/>
                <w:b w:val="0"/>
                <w:sz w:val="19"/>
              </w:rPr>
              <w:t>Demonstrate generative AI concepts and applications relevant to customer service and hospitality management.</w:t>
            </w:r>
          </w:p>
        </w:tc>
      </w:tr>
      <w:tr>
        <w:trPr>
          <w:cantSplit/>
        </w:trPr>
        <w:tc>
          <w:tcPr>
            <w:tcW w:type="dxa" w:w="1008"/>
          </w:tcPr>
          <w:p>
            <w:pPr>
              <w:keepNext/>
              <w:keepLines/>
            </w:pPr>
            <w:r/>
            <w:r>
              <w:rPr>
                <w:rFonts w:ascii="Arial" w:hAnsi="Arial"/>
                <w:b/>
                <w:sz w:val="19"/>
              </w:rPr>
              <w:t>LO2</w:t>
            </w:r>
          </w:p>
        </w:tc>
        <w:tc>
          <w:tcPr>
            <w:tcW w:type="dxa" w:w="9288"/>
          </w:tcPr>
          <w:p>
            <w:pPr>
              <w:keepNext/>
              <w:keepLines/>
            </w:pPr>
            <w:r/>
            <w:r>
              <w:rPr>
                <w:rFonts w:ascii="Arial" w:hAnsi="Arial"/>
                <w:b w:val="0"/>
                <w:sz w:val="19"/>
              </w:rPr>
              <w:t>Apply prompt engineering techniques and analyse output variations to improve generative AI performance in service settings.</w:t>
            </w:r>
          </w:p>
        </w:tc>
      </w:tr>
      <w:tr>
        <w:trPr>
          <w:cantSplit/>
        </w:trPr>
        <w:tc>
          <w:tcPr>
            <w:tcW w:type="dxa" w:w="1008"/>
          </w:tcPr>
          <w:p>
            <w:pPr>
              <w:keepNext w:val="0"/>
              <w:keepLines/>
            </w:pPr>
            <w:r/>
            <w:r>
              <w:rPr>
                <w:rFonts w:ascii="Arial" w:hAnsi="Arial"/>
                <w:b/>
                <w:sz w:val="19"/>
              </w:rPr>
              <w:t>LO3</w:t>
            </w:r>
          </w:p>
        </w:tc>
        <w:tc>
          <w:tcPr>
            <w:tcW w:type="dxa" w:w="9288"/>
          </w:tcPr>
          <w:p>
            <w:pPr>
              <w:keepNext w:val="0"/>
              <w:keepLines/>
            </w:pPr>
            <w:r/>
            <w:r>
              <w:rPr>
                <w:rFonts w:ascii="Arial" w:hAnsi="Arial"/>
                <w:b w:val="0"/>
                <w:sz w:val="19"/>
              </w:rPr>
              <w:t>Identify ethical risks and analyse bias in AI-generated content used in customer engagement.</w:t>
            </w:r>
          </w:p>
        </w:tc>
      </w:tr>
    </w:tbl>
    <w:p>
      <w:pPr>
        <w:pStyle w:val="Heading2"/>
      </w:pPr>
      <w:r>
        <w:t>Knowledge Statements (assessed by the Written Assessment)</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Knowledge statement</w:t>
            </w:r>
          </w:p>
        </w:tc>
      </w:tr>
      <w:tr>
        <w:trPr>
          <w:cantSplit/>
        </w:trPr>
        <w:tc>
          <w:tcPr>
            <w:tcW w:type="dxa" w:w="1008"/>
          </w:tcPr>
          <w:p>
            <w:pPr>
              <w:keepNext/>
              <w:keepLines/>
            </w:pPr>
            <w:r/>
            <w:r>
              <w:rPr>
                <w:rFonts w:ascii="Arial" w:hAnsi="Arial"/>
                <w:b/>
                <w:sz w:val="19"/>
              </w:rPr>
              <w:t>K1</w:t>
            </w:r>
          </w:p>
        </w:tc>
        <w:tc>
          <w:tcPr>
            <w:tcW w:type="dxa" w:w="9288"/>
          </w:tcPr>
          <w:p>
            <w:pPr>
              <w:keepNext/>
              <w:keepLines/>
            </w:pPr>
            <w:r/>
            <w:r>
              <w:rPr>
                <w:rFonts w:ascii="Arial" w:hAnsi="Arial"/>
                <w:b w:val="0"/>
                <w:sz w:val="19"/>
              </w:rPr>
              <w:t>Importance of data quality, preprocessing, model pipeline and model training (e.g., impact of data bias from training data)</w:t>
            </w:r>
          </w:p>
        </w:tc>
      </w:tr>
      <w:tr>
        <w:trPr>
          <w:cantSplit/>
        </w:trPr>
        <w:tc>
          <w:tcPr>
            <w:tcW w:type="dxa" w:w="1008"/>
          </w:tcPr>
          <w:p>
            <w:pPr>
              <w:keepNext/>
              <w:keepLines/>
            </w:pPr>
            <w:r/>
            <w:r>
              <w:rPr>
                <w:rFonts w:ascii="Arial" w:hAnsi="Arial"/>
                <w:b/>
                <w:sz w:val="19"/>
              </w:rPr>
              <w:t>K2</w:t>
            </w:r>
          </w:p>
        </w:tc>
        <w:tc>
          <w:tcPr>
            <w:tcW w:type="dxa" w:w="9288"/>
          </w:tcPr>
          <w:p>
            <w:pPr>
              <w:keepNext/>
              <w:keepLines/>
            </w:pPr>
            <w:r/>
            <w:r>
              <w:rPr>
                <w:rFonts w:ascii="Arial" w:hAnsi="Arial"/>
                <w:b w:val="0"/>
                <w:sz w:val="19"/>
              </w:rPr>
              <w:t>Underlying principles, core concepts and theories governing generative AI</w:t>
            </w:r>
          </w:p>
        </w:tc>
      </w:tr>
      <w:tr>
        <w:trPr>
          <w:cantSplit/>
        </w:trPr>
        <w:tc>
          <w:tcPr>
            <w:tcW w:type="dxa" w:w="1008"/>
          </w:tcPr>
          <w:p>
            <w:pPr>
              <w:keepNext/>
              <w:keepLines/>
            </w:pPr>
            <w:r/>
            <w:r>
              <w:rPr>
                <w:rFonts w:ascii="Arial" w:hAnsi="Arial"/>
                <w:b/>
                <w:sz w:val="19"/>
              </w:rPr>
              <w:t>K3</w:t>
            </w:r>
          </w:p>
        </w:tc>
        <w:tc>
          <w:tcPr>
            <w:tcW w:type="dxa" w:w="9288"/>
          </w:tcPr>
          <w:p>
            <w:pPr>
              <w:keepNext/>
              <w:keepLines/>
            </w:pPr>
            <w:r/>
            <w:r>
              <w:rPr>
                <w:rFonts w:ascii="Arial" w:hAnsi="Arial"/>
                <w:b w:val="0"/>
                <w:sz w:val="19"/>
              </w:rPr>
              <w:t>Difference between generative and discriminative models</w:t>
            </w:r>
          </w:p>
        </w:tc>
      </w:tr>
      <w:tr>
        <w:trPr>
          <w:cantSplit/>
        </w:trPr>
        <w:tc>
          <w:tcPr>
            <w:tcW w:type="dxa" w:w="1008"/>
          </w:tcPr>
          <w:p>
            <w:pPr>
              <w:keepNext/>
              <w:keepLines/>
            </w:pPr>
            <w:r/>
            <w:r>
              <w:rPr>
                <w:rFonts w:ascii="Arial" w:hAnsi="Arial"/>
                <w:b/>
                <w:sz w:val="19"/>
              </w:rPr>
              <w:t>K4</w:t>
            </w:r>
          </w:p>
        </w:tc>
        <w:tc>
          <w:tcPr>
            <w:tcW w:type="dxa" w:w="9288"/>
          </w:tcPr>
          <w:p>
            <w:pPr>
              <w:keepNext/>
              <w:keepLines/>
            </w:pPr>
            <w:r/>
            <w:r>
              <w:rPr>
                <w:rFonts w:ascii="Arial" w:hAnsi="Arial"/>
                <w:b w:val="0"/>
                <w:sz w:val="19"/>
              </w:rPr>
              <w:t>Impact of prompt engineering on the model outputs of generative AI</w:t>
            </w:r>
          </w:p>
        </w:tc>
      </w:tr>
      <w:tr>
        <w:trPr>
          <w:cantSplit/>
        </w:trPr>
        <w:tc>
          <w:tcPr>
            <w:tcW w:type="dxa" w:w="1008"/>
          </w:tcPr>
          <w:p>
            <w:pPr>
              <w:keepNext w:val="0"/>
              <w:keepLines/>
            </w:pPr>
            <w:r/>
            <w:r>
              <w:rPr>
                <w:rFonts w:ascii="Arial" w:hAnsi="Arial"/>
                <w:b/>
                <w:sz w:val="19"/>
              </w:rPr>
              <w:t>K5</w:t>
            </w:r>
          </w:p>
        </w:tc>
        <w:tc>
          <w:tcPr>
            <w:tcW w:type="dxa" w:w="9288"/>
          </w:tcPr>
          <w:p>
            <w:pPr>
              <w:keepNext w:val="0"/>
              <w:keepLines/>
            </w:pPr>
            <w:r/>
            <w:r>
              <w:rPr>
                <w:rFonts w:ascii="Arial" w:hAnsi="Arial"/>
                <w:b w:val="0"/>
                <w:sz w:val="19"/>
              </w:rPr>
              <w:t>Generative AI model workings, including training data, algorithms, and outputs</w:t>
            </w:r>
          </w:p>
        </w:tc>
      </w:tr>
    </w:tbl>
    <w:p>
      <w:pPr>
        <w:pStyle w:val="Heading2"/>
      </w:pPr>
      <w:r>
        <w:t>Ability Statements (assessed by the Case Study)</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Ability statement</w:t>
            </w:r>
          </w:p>
        </w:tc>
      </w:tr>
      <w:tr>
        <w:trPr>
          <w:cantSplit/>
        </w:trPr>
        <w:tc>
          <w:tcPr>
            <w:tcW w:type="dxa" w:w="1008"/>
          </w:tcPr>
          <w:p>
            <w:pPr>
              <w:keepNext/>
              <w:keepLines/>
            </w:pPr>
            <w:r/>
            <w:r>
              <w:rPr>
                <w:rFonts w:ascii="Arial" w:hAnsi="Arial"/>
                <w:b/>
                <w:sz w:val="19"/>
              </w:rPr>
              <w:t>A1</w:t>
            </w:r>
          </w:p>
        </w:tc>
        <w:tc>
          <w:tcPr>
            <w:tcW w:type="dxa" w:w="9288"/>
          </w:tcPr>
          <w:p>
            <w:pPr>
              <w:keepNext/>
              <w:keepLines/>
            </w:pPr>
            <w:r/>
            <w:r>
              <w:rPr>
                <w:rFonts w:ascii="Arial" w:hAnsi="Arial"/>
                <w:b w:val="0"/>
                <w:sz w:val="19"/>
              </w:rPr>
              <w:t>Analyse limitations and potential biases in AI-generated content</w:t>
            </w:r>
          </w:p>
        </w:tc>
      </w:tr>
      <w:tr>
        <w:trPr>
          <w:cantSplit/>
        </w:trPr>
        <w:tc>
          <w:tcPr>
            <w:tcW w:type="dxa" w:w="1008"/>
          </w:tcPr>
          <w:p>
            <w:pPr>
              <w:keepNext/>
              <w:keepLines/>
            </w:pPr>
            <w:r/>
            <w:r>
              <w:rPr>
                <w:rFonts w:ascii="Arial" w:hAnsi="Arial"/>
                <w:b/>
                <w:sz w:val="19"/>
              </w:rPr>
              <w:t>A2</w:t>
            </w:r>
          </w:p>
        </w:tc>
        <w:tc>
          <w:tcPr>
            <w:tcW w:type="dxa" w:w="9288"/>
          </w:tcPr>
          <w:p>
            <w:pPr>
              <w:keepNext/>
              <w:keepLines/>
            </w:pPr>
            <w:r/>
            <w:r>
              <w:rPr>
                <w:rFonts w:ascii="Arial" w:hAnsi="Arial"/>
                <w:b w:val="0"/>
                <w:sz w:val="19"/>
              </w:rPr>
              <w:t>Identify the ethical implications and societal impact of AI-generated content</w:t>
            </w:r>
          </w:p>
        </w:tc>
      </w:tr>
      <w:tr>
        <w:trPr>
          <w:cantSplit/>
        </w:trPr>
        <w:tc>
          <w:tcPr>
            <w:tcW w:type="dxa" w:w="1008"/>
          </w:tcPr>
          <w:p>
            <w:pPr>
              <w:keepNext/>
              <w:keepLines/>
            </w:pPr>
            <w:r/>
            <w:r>
              <w:rPr>
                <w:rFonts w:ascii="Arial" w:hAnsi="Arial"/>
                <w:b/>
                <w:sz w:val="19"/>
              </w:rPr>
              <w:t>A3</w:t>
            </w:r>
          </w:p>
        </w:tc>
        <w:tc>
          <w:tcPr>
            <w:tcW w:type="dxa" w:w="9288"/>
          </w:tcPr>
          <w:p>
            <w:pPr>
              <w:keepNext/>
              <w:keepLines/>
            </w:pPr>
            <w:r/>
            <w:r>
              <w:rPr>
                <w:rFonts w:ascii="Arial" w:hAnsi="Arial"/>
                <w:b w:val="0"/>
                <w:sz w:val="19"/>
              </w:rPr>
              <w:t>Apply understanding of generative AI principles to use cases</w:t>
            </w:r>
          </w:p>
        </w:tc>
      </w:tr>
      <w:tr>
        <w:trPr>
          <w:cantSplit/>
        </w:trPr>
        <w:tc>
          <w:tcPr>
            <w:tcW w:type="dxa" w:w="1008"/>
          </w:tcPr>
          <w:p>
            <w:pPr>
              <w:keepNext/>
              <w:keepLines/>
            </w:pPr>
            <w:r/>
            <w:r>
              <w:rPr>
                <w:rFonts w:ascii="Arial" w:hAnsi="Arial"/>
                <w:b/>
                <w:sz w:val="19"/>
              </w:rPr>
              <w:t>A4</w:t>
            </w:r>
          </w:p>
        </w:tc>
        <w:tc>
          <w:tcPr>
            <w:tcW w:type="dxa" w:w="9288"/>
          </w:tcPr>
          <w:p>
            <w:pPr>
              <w:keepNext/>
              <w:keepLines/>
            </w:pPr>
            <w:r/>
            <w:r>
              <w:rPr>
                <w:rFonts w:ascii="Arial" w:hAnsi="Arial"/>
                <w:b w:val="0"/>
                <w:sz w:val="19"/>
              </w:rPr>
              <w:t>Demonstrate the use of generation AI in diverse applications (e.g., summarisation, inference, reasoning, transformation of content, augmentation of content)</w:t>
            </w:r>
          </w:p>
        </w:tc>
      </w:tr>
      <w:tr>
        <w:trPr>
          <w:cantSplit/>
        </w:trPr>
        <w:tc>
          <w:tcPr>
            <w:tcW w:type="dxa" w:w="1008"/>
          </w:tcPr>
          <w:p>
            <w:pPr>
              <w:keepNext w:val="0"/>
              <w:keepLines/>
            </w:pPr>
            <w:r/>
            <w:r>
              <w:rPr>
                <w:rFonts w:ascii="Arial" w:hAnsi="Arial"/>
                <w:b/>
                <w:sz w:val="19"/>
              </w:rPr>
              <w:t>A5</w:t>
            </w:r>
          </w:p>
        </w:tc>
        <w:tc>
          <w:tcPr>
            <w:tcW w:type="dxa" w:w="9288"/>
          </w:tcPr>
          <w:p>
            <w:pPr>
              <w:keepNext w:val="0"/>
              <w:keepLines/>
            </w:pPr>
            <w:r/>
            <w:r>
              <w:rPr>
                <w:rFonts w:ascii="Arial" w:hAnsi="Arial"/>
                <w:b w:val="0"/>
                <w:sz w:val="19"/>
              </w:rPr>
              <w:t>Analyse generative AI models' performance metrics and evaluate the influence of prompt variations</w:t>
            </w:r>
          </w:p>
        </w:tc>
      </w:tr>
    </w:tbl>
    <w:p>
      <w:r>
        <w:br w:type="page"/>
      </w:r>
    </w:p>
    <w:p>
      <w:pPr>
        <w:pStyle w:val="Heading1"/>
      </w:pPr>
      <w:r>
        <w:t>2. Daily Schedule</w:t>
      </w:r>
    </w:p>
    <w:p>
      <w:pPr>
        <w:spacing w:after="120"/>
      </w:pPr>
      <w:r>
        <w:rPr>
          <w:rFonts w:ascii="Arial" w:hAnsi="Arial"/>
          <w:b w:val="0"/>
          <w:color w:val="555B66"/>
          <w:sz w:val="20"/>
        </w:rPr>
        <w:t>Each training day runs 9:30am – 6:30pm and delivers 8 instructional hours. A 1-hour lunch break is excluded from instructional time; short tea breaks are counted within the day.</w:t>
      </w:r>
    </w:p>
    <w:p>
      <w:pPr>
        <w:pStyle w:val="Heading2"/>
      </w:pPr>
      <w:r>
        <w:t>Day 1 — Generative AI Security</w:t>
      </w:r>
    </w:p>
    <w:p>
      <w:pPr>
        <w:spacing w:after="120"/>
      </w:pPr>
      <w:r>
        <w:rPr>
          <w:rFonts w:ascii="Arial" w:hAnsi="Arial"/>
          <w:b w:val="0"/>
          <w:color w:val="555B66"/>
          <w:sz w:val="19"/>
        </w:rPr>
        <w:t>Slides 1–98 of the trainer deck.</w:t>
      </w:r>
    </w:p>
    <w:tbl>
      <w:tblPr>
        <w:tblStyle w:val="TableGrid"/>
        <w:tblW w:type="auto" w:w="0"/>
        <w:tblLook w:firstColumn="1" w:firstRow="1" w:lastColumn="0" w:lastRow="0" w:noHBand="0" w:noVBand="1" w:val="04A0"/>
      </w:tblPr>
      <w:tblGrid>
        <w:gridCol w:w="2880"/>
        <w:gridCol w:w="2880"/>
        <w:gridCol w:w="2880"/>
      </w:tblGrid>
      <w:tr>
        <w:trPr>
          <w:cantSplit/>
        </w:trPr>
        <w:tc>
          <w:tcPr>
            <w:tcW w:type="dxa" w:w="1656"/>
            <w:shd w:val="clear" w:color="auto" w:fill="1F6FEB"/>
          </w:tcPr>
          <w:p>
            <w:pPr>
              <w:keepLines/>
            </w:pPr>
            <w:r/>
            <w:r>
              <w:rPr>
                <w:rFonts w:ascii="Arial" w:hAnsi="Arial"/>
                <w:b/>
                <w:color w:val="FFFFFF"/>
                <w:sz w:val="20"/>
              </w:rPr>
              <w:t>Time</w:t>
            </w:r>
          </w:p>
        </w:tc>
        <w:tc>
          <w:tcPr>
            <w:tcW w:type="dxa" w:w="7416"/>
            <w:shd w:val="clear" w:color="auto" w:fill="1F6FEB"/>
          </w:tcPr>
          <w:p>
            <w:pPr>
              <w:keepLines/>
            </w:pPr>
            <w:r/>
            <w:r>
              <w:rPr>
                <w:rFonts w:ascii="Arial" w:hAnsi="Arial"/>
                <w:b/>
                <w:color w:val="FFFFFF"/>
                <w:sz w:val="20"/>
              </w:rPr>
              <w:t>Topic / Activity</w:t>
            </w:r>
          </w:p>
        </w:tc>
        <w:tc>
          <w:tcPr>
            <w:tcW w:type="dxa" w:w="1224"/>
            <w:shd w:val="clear" w:color="auto" w:fill="1F6FEB"/>
          </w:tcPr>
          <w:p>
            <w:pPr>
              <w:keepLines/>
            </w:pPr>
            <w:r/>
            <w:r>
              <w:rPr>
                <w:rFonts w:ascii="Arial" w:hAnsi="Arial"/>
                <w:b/>
                <w:color w:val="FFFFFF"/>
                <w:sz w:val="20"/>
              </w:rPr>
              <w:t>Duration</w:t>
            </w:r>
          </w:p>
        </w:tc>
      </w:tr>
      <w:tr>
        <w:trPr>
          <w:cantSplit/>
        </w:trPr>
        <w:tc>
          <w:tcPr>
            <w:tcW w:type="dxa" w:w="1656"/>
            <w:shd w:val="clear" w:color="auto" w:fill="F2F4F7"/>
          </w:tcPr>
          <w:p>
            <w:pPr>
              <w:keepLines/>
            </w:pPr>
            <w:r/>
            <w:r>
              <w:rPr>
                <w:rFonts w:ascii="Arial" w:hAnsi="Arial"/>
                <w:b w:val="0"/>
                <w:sz w:val="19"/>
              </w:rPr>
              <w:t>9:30 – 9:50</w:t>
            </w:r>
          </w:p>
        </w:tc>
        <w:tc>
          <w:tcPr>
            <w:tcW w:type="dxa" w:w="7416"/>
            <w:shd w:val="clear" w:color="auto" w:fill="F2F4F7"/>
          </w:tcPr>
          <w:p>
            <w:pPr>
              <w:keepLines/>
            </w:pPr>
            <w:r/>
            <w:r>
              <w:rPr>
                <w:rFonts w:ascii="Arial" w:hAnsi="Arial"/>
                <w:b w:val="0"/>
                <w:sz w:val="19"/>
              </w:rPr>
              <w:t>Welcome, digital attendance, introductions, learning outcomes and safe-lab boundaries</w:t>
            </w:r>
          </w:p>
        </w:tc>
        <w:tc>
          <w:tcPr>
            <w:tcW w:type="dxa" w:w="1224"/>
            <w:shd w:val="clear" w:color="auto" w:fill="F2F4F7"/>
          </w:tcPr>
          <w:p>
            <w:pPr>
              <w:keepLines/>
            </w:pPr>
            <w:r/>
            <w:r>
              <w:rPr>
                <w:rFonts w:ascii="Arial" w:hAnsi="Arial"/>
                <w:b w:val="0"/>
                <w:sz w:val="19"/>
              </w:rPr>
              <w:t>20 min</w:t>
            </w:r>
          </w:p>
        </w:tc>
      </w:tr>
      <w:tr>
        <w:trPr>
          <w:cantSplit/>
        </w:trPr>
        <w:tc>
          <w:tcPr>
            <w:tcW w:type="dxa" w:w="1656"/>
            <w:shd w:val="clear" w:color="auto" w:fill="E8F0FE"/>
          </w:tcPr>
          <w:p>
            <w:pPr>
              <w:keepLines/>
            </w:pPr>
            <w:r/>
            <w:r>
              <w:rPr>
                <w:rFonts w:ascii="Arial" w:hAnsi="Arial"/>
                <w:b w:val="0"/>
                <w:sz w:val="19"/>
              </w:rPr>
              <w:t>9:50 – 10:35</w:t>
            </w:r>
          </w:p>
        </w:tc>
        <w:tc>
          <w:tcPr>
            <w:tcW w:type="dxa" w:w="7416"/>
            <w:shd w:val="clear" w:color="auto" w:fill="E8F0FE"/>
          </w:tcPr>
          <w:p>
            <w:pPr>
              <w:keepLines/>
            </w:pPr>
            <w:r/>
            <w:r>
              <w:rPr>
                <w:rFonts w:ascii="Arial" w:hAnsi="Arial"/>
                <w:b w:val="0"/>
                <w:sz w:val="19"/>
              </w:rPr>
              <w:t>AI history: symbolic systems, machine learning, deep learning, transformers and instruction following (K2)</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FDF3E3"/>
          </w:tcPr>
          <w:p>
            <w:pPr>
              <w:keepLines/>
            </w:pPr>
            <w:r/>
            <w:r>
              <w:rPr>
                <w:rFonts w:ascii="Arial" w:hAnsi="Arial"/>
                <w:b w:val="0"/>
                <w:sz w:val="19"/>
              </w:rPr>
              <w:t>10:35 – 10:50</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10:50 – 11:35</w:t>
            </w:r>
          </w:p>
        </w:tc>
        <w:tc>
          <w:tcPr>
            <w:tcW w:type="dxa" w:w="7416"/>
            <w:shd w:val="clear" w:color="auto" w:fill="E8F0FE"/>
          </w:tcPr>
          <w:p>
            <w:pPr>
              <w:keepLines/>
            </w:pPr>
            <w:r/>
            <w:r>
              <w:rPr>
                <w:rFonts w:ascii="Arial" w:hAnsi="Arial"/>
                <w:b w:val="0"/>
                <w:sz w:val="19"/>
              </w:rPr>
              <w:t>Generative AI, agentic behaviour and deployed AI agents as overlapping operating layers (K2, K3)</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11:35 – 12:30</w:t>
            </w:r>
          </w:p>
        </w:tc>
        <w:tc>
          <w:tcPr>
            <w:tcW w:type="dxa" w:w="7416"/>
            <w:shd w:val="clear" w:color="auto" w:fill="E8F0FE"/>
          </w:tcPr>
          <w:p>
            <w:pPr>
              <w:keepLines/>
            </w:pPr>
            <w:r/>
            <w:r>
              <w:rPr>
                <w:rFonts w:ascii="Arial" w:hAnsi="Arial"/>
                <w:b w:val="0"/>
                <w:sz w:val="19"/>
              </w:rPr>
              <w:t>Strengths, weaknesses and examples: OpenClaw, Hermes, Claude Code, Codex, ChatGPT Work, DeepSeek model/harness and evidence gates</w:t>
            </w:r>
          </w:p>
        </w:tc>
        <w:tc>
          <w:tcPr>
            <w:tcW w:type="dxa" w:w="1224"/>
            <w:shd w:val="clear" w:color="auto" w:fill="E8F0FE"/>
          </w:tcPr>
          <w:p>
            <w:pPr>
              <w:keepLines/>
            </w:pPr>
            <w:r/>
            <w:r>
              <w:rPr>
                <w:rFonts w:ascii="Arial" w:hAnsi="Arial"/>
                <w:b w:val="0"/>
                <w:sz w:val="19"/>
              </w:rPr>
              <w:t>55 min</w:t>
            </w:r>
          </w:p>
        </w:tc>
      </w:tr>
      <w:tr>
        <w:trPr>
          <w:cantSplit/>
        </w:trPr>
        <w:tc>
          <w:tcPr>
            <w:tcW w:type="dxa" w:w="1656"/>
            <w:shd w:val="clear" w:color="auto" w:fill="FDF3E3"/>
          </w:tcPr>
          <w:p>
            <w:pPr>
              <w:keepLines/>
            </w:pPr>
            <w:r/>
            <w:r>
              <w:rPr>
                <w:rFonts w:ascii="Arial" w:hAnsi="Arial"/>
                <w:b w:val="0"/>
                <w:sz w:val="19"/>
              </w:rPr>
              <w:t>12:30 – 1:30</w:t>
            </w:r>
          </w:p>
        </w:tc>
        <w:tc>
          <w:tcPr>
            <w:tcW w:type="dxa" w:w="7416"/>
            <w:shd w:val="clear" w:color="auto" w:fill="FDF3E3"/>
          </w:tcPr>
          <w:p>
            <w:pPr>
              <w:keepLines/>
            </w:pPr>
            <w:r/>
            <w:r>
              <w:rPr>
                <w:rFonts w:ascii="Arial" w:hAnsi="Arial"/>
                <w:b w:val="0"/>
                <w:sz w:val="19"/>
              </w:rPr>
              <w:t>Lunch break</w:t>
            </w:r>
          </w:p>
        </w:tc>
        <w:tc>
          <w:tcPr>
            <w:tcW w:type="dxa" w:w="1224"/>
            <w:shd w:val="clear" w:color="auto" w:fill="FDF3E3"/>
          </w:tcPr>
          <w:p>
            <w:pPr>
              <w:keepLines/>
            </w:pPr>
            <w:r/>
            <w:r>
              <w:rPr>
                <w:rFonts w:ascii="Arial" w:hAnsi="Arial"/>
                <w:b w:val="0"/>
                <w:sz w:val="19"/>
              </w:rPr>
              <w:t>60 min</w:t>
            </w:r>
          </w:p>
        </w:tc>
      </w:tr>
      <w:tr>
        <w:trPr>
          <w:cantSplit/>
        </w:trPr>
        <w:tc>
          <w:tcPr>
            <w:tcW w:type="dxa" w:w="1656"/>
            <w:shd w:val="clear" w:color="auto" w:fill="E8F0FE"/>
          </w:tcPr>
          <w:p>
            <w:pPr>
              <w:keepLines/>
            </w:pPr>
            <w:r/>
            <w:r>
              <w:rPr>
                <w:rFonts w:ascii="Arial" w:hAnsi="Arial"/>
                <w:b w:val="0"/>
                <w:sz w:val="19"/>
              </w:rPr>
              <w:t>1:30 – 2:15</w:t>
            </w:r>
          </w:p>
        </w:tc>
        <w:tc>
          <w:tcPr>
            <w:tcW w:type="dxa" w:w="7416"/>
            <w:shd w:val="clear" w:color="auto" w:fill="E8F0FE"/>
          </w:tcPr>
          <w:p>
            <w:pPr>
              <w:keepLines/>
            </w:pPr>
            <w:r/>
            <w:r>
              <w:rPr>
                <w:rFonts w:ascii="Arial" w:hAnsi="Arial"/>
                <w:b w:val="0"/>
                <w:sz w:val="19"/>
              </w:rPr>
              <w:t>Capability, data, token, code-execution, skill/plugin/MCP, network and approval matrices</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2:15 – 3:00</w:t>
            </w:r>
          </w:p>
        </w:tc>
        <w:tc>
          <w:tcPr>
            <w:tcW w:type="dxa" w:w="7416"/>
            <w:shd w:val="clear" w:color="auto" w:fill="E8F0FE"/>
          </w:tcPr>
          <w:p>
            <w:pPr>
              <w:keepLines/>
            </w:pPr>
            <w:r/>
            <w:r>
              <w:rPr>
                <w:rFonts w:ascii="Arial" w:hAnsi="Arial"/>
                <w:b w:val="0"/>
                <w:sz w:val="19"/>
              </w:rPr>
              <w:t>Threat modelling: assets, actors, trust boundaries, authority paths and abuse cases (K1, K5)</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3:00 – 3:45</w:t>
            </w:r>
          </w:p>
        </w:tc>
        <w:tc>
          <w:tcPr>
            <w:tcW w:type="dxa" w:w="7416"/>
            <w:shd w:val="clear" w:color="auto" w:fill="E6F7F1"/>
          </w:tcPr>
          <w:p>
            <w:pPr>
              <w:keepLines/>
            </w:pPr>
            <w:r/>
            <w:r>
              <w:rPr>
                <w:rFonts w:ascii="Arial" w:hAnsi="Arial"/>
                <w:b w:val="0"/>
                <w:sz w:val="19"/>
              </w:rPr>
              <w:t>Activity 1: Threat Modelling a Generative AI Concierge (K2, K3, A4)</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F3E3"/>
          </w:tcPr>
          <w:p>
            <w:pPr>
              <w:keepLines/>
            </w:pPr>
            <w:r/>
            <w:r>
              <w:rPr>
                <w:rFonts w:ascii="Arial" w:hAnsi="Arial"/>
                <w:b w:val="0"/>
                <w:sz w:val="19"/>
              </w:rPr>
              <w:t>3:45 – 4:00</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4:00 – 4:45</w:t>
            </w:r>
          </w:p>
        </w:tc>
        <w:tc>
          <w:tcPr>
            <w:tcW w:type="dxa" w:w="7416"/>
            <w:shd w:val="clear" w:color="auto" w:fill="E8F0FE"/>
          </w:tcPr>
          <w:p>
            <w:pPr>
              <w:keepLines/>
            </w:pPr>
            <w:r/>
            <w:r>
              <w:rPr>
                <w:rFonts w:ascii="Arial" w:hAnsi="Arial"/>
                <w:b w:val="0"/>
                <w:sz w:val="19"/>
              </w:rPr>
              <w:t>Attack surfaces by operating layer: content, state, identity, tools, runtime and network</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4:45 – 5:30</w:t>
            </w:r>
          </w:p>
        </w:tc>
        <w:tc>
          <w:tcPr>
            <w:tcW w:type="dxa" w:w="7416"/>
            <w:shd w:val="clear" w:color="auto" w:fill="E8F0FE"/>
          </w:tcPr>
          <w:p>
            <w:pPr>
              <w:keepLines/>
            </w:pPr>
            <w:r/>
            <w:r>
              <w:rPr>
                <w:rFonts w:ascii="Arial" w:hAnsi="Arial"/>
                <w:b w:val="0"/>
                <w:sz w:val="19"/>
              </w:rPr>
              <w:t>Complete attack chains, source-to-sink reasoning and evidence classification</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5:30 – 6:15</w:t>
            </w:r>
          </w:p>
        </w:tc>
        <w:tc>
          <w:tcPr>
            <w:tcW w:type="dxa" w:w="7416"/>
            <w:shd w:val="clear" w:color="auto" w:fill="E8F0FE"/>
          </w:tcPr>
          <w:p>
            <w:pPr>
              <w:keepLines/>
            </w:pPr>
            <w:r/>
            <w:r>
              <w:rPr>
                <w:rFonts w:ascii="Arial" w:hAnsi="Arial"/>
                <w:b w:val="0"/>
                <w:sz w:val="19"/>
              </w:rPr>
              <w:t>Integrated risk matrix and preview of structural controls, approvals and evidence</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F2F4F7"/>
          </w:tcPr>
          <w:p>
            <w:pPr>
              <w:keepLines/>
            </w:pPr>
            <w:r/>
            <w:r>
              <w:rPr>
                <w:rFonts w:ascii="Arial" w:hAnsi="Arial"/>
                <w:b w:val="0"/>
                <w:sz w:val="19"/>
              </w:rPr>
              <w:t>6:15 – 6:30</w:t>
            </w:r>
          </w:p>
        </w:tc>
        <w:tc>
          <w:tcPr>
            <w:tcW w:type="dxa" w:w="7416"/>
            <w:shd w:val="clear" w:color="auto" w:fill="F2F4F7"/>
          </w:tcPr>
          <w:p>
            <w:pPr>
              <w:keepLines/>
            </w:pPr>
            <w:r/>
            <w:r>
              <w:rPr>
                <w:rFonts w:ascii="Arial" w:hAnsi="Arial"/>
                <w:b w:val="0"/>
                <w:sz w:val="19"/>
              </w:rPr>
              <w:t>Day 1 recap, Q&amp;A and PM digital attendance</w:t>
            </w:r>
          </w:p>
        </w:tc>
        <w:tc>
          <w:tcPr>
            <w:tcW w:type="dxa" w:w="1224"/>
            <w:shd w:val="clear" w:color="auto" w:fill="F2F4F7"/>
          </w:tcPr>
          <w:p>
            <w:pPr>
              <w:keepLines/>
            </w:pPr>
            <w:r/>
            <w:r>
              <w:rPr>
                <w:rFonts w:ascii="Arial" w:hAnsi="Arial"/>
                <w:b w:val="0"/>
                <w:sz w:val="19"/>
              </w:rPr>
              <w:t>15 min</w:t>
            </w:r>
          </w:p>
        </w:tc>
      </w:tr>
    </w:tbl>
    <w:p>
      <w:pPr>
        <w:spacing w:after="120"/>
      </w:pPr>
      <w:r>
        <w:rPr>
          <w:rFonts w:ascii="Arial" w:hAnsi="Arial"/>
          <w:b w:val="0"/>
          <w:color w:val="111827"/>
          <w:sz w:val="22"/>
        </w:rPr>
      </w:r>
    </w:p>
    <w:p>
      <w:pPr>
        <w:spacing w:after="120"/>
      </w:pPr>
      <w:r>
        <w:rPr>
          <w:rFonts w:ascii="Arial" w:hAnsi="Arial"/>
          <w:b/>
          <w:color w:val="111827"/>
          <w:sz w:val="20"/>
        </w:rPr>
        <w:t>Day 1 instructional total: 480 minutes (8 hours), excluding the 1-hour lunch break.</w:t>
      </w:r>
    </w:p>
    <w:p>
      <w:r>
        <w:br w:type="page"/>
      </w:r>
    </w:p>
    <w:p>
      <w:pPr>
        <w:pStyle w:val="Heading2"/>
      </w:pPr>
      <w:r>
        <w:t>Day 2 — Autonomous Agent Security</w:t>
      </w:r>
    </w:p>
    <w:p>
      <w:pPr>
        <w:spacing w:after="120"/>
      </w:pPr>
      <w:r>
        <w:rPr>
          <w:rFonts w:ascii="Arial" w:hAnsi="Arial"/>
          <w:b w:val="0"/>
          <w:color w:val="555B66"/>
          <w:sz w:val="19"/>
        </w:rPr>
        <w:t>Slides 99–207 of the trainer deck.</w:t>
      </w:r>
    </w:p>
    <w:tbl>
      <w:tblPr>
        <w:tblStyle w:val="TableGrid"/>
        <w:tblW w:type="auto" w:w="0"/>
        <w:tblLook w:firstColumn="1" w:firstRow="1" w:lastColumn="0" w:lastRow="0" w:noHBand="0" w:noVBand="1" w:val="04A0"/>
      </w:tblPr>
      <w:tblGrid>
        <w:gridCol w:w="2880"/>
        <w:gridCol w:w="2880"/>
        <w:gridCol w:w="2880"/>
      </w:tblGrid>
      <w:tr>
        <w:trPr>
          <w:cantSplit/>
        </w:trPr>
        <w:tc>
          <w:tcPr>
            <w:tcW w:type="dxa" w:w="1656"/>
            <w:shd w:val="clear" w:color="auto" w:fill="1F6FEB"/>
          </w:tcPr>
          <w:p>
            <w:pPr>
              <w:keepLines/>
            </w:pPr>
            <w:r/>
            <w:r>
              <w:rPr>
                <w:rFonts w:ascii="Arial" w:hAnsi="Arial"/>
                <w:b/>
                <w:color w:val="FFFFFF"/>
                <w:sz w:val="20"/>
              </w:rPr>
              <w:t>Time</w:t>
            </w:r>
          </w:p>
        </w:tc>
        <w:tc>
          <w:tcPr>
            <w:tcW w:type="dxa" w:w="7416"/>
            <w:shd w:val="clear" w:color="auto" w:fill="1F6FEB"/>
          </w:tcPr>
          <w:p>
            <w:pPr>
              <w:keepLines/>
            </w:pPr>
            <w:r/>
            <w:r>
              <w:rPr>
                <w:rFonts w:ascii="Arial" w:hAnsi="Arial"/>
                <w:b/>
                <w:color w:val="FFFFFF"/>
                <w:sz w:val="20"/>
              </w:rPr>
              <w:t>Topic / Activity</w:t>
            </w:r>
          </w:p>
        </w:tc>
        <w:tc>
          <w:tcPr>
            <w:tcW w:type="dxa" w:w="1224"/>
            <w:shd w:val="clear" w:color="auto" w:fill="1F6FEB"/>
          </w:tcPr>
          <w:p>
            <w:pPr>
              <w:keepLines/>
            </w:pPr>
            <w:r/>
            <w:r>
              <w:rPr>
                <w:rFonts w:ascii="Arial" w:hAnsi="Arial"/>
                <w:b/>
                <w:color w:val="FFFFFF"/>
                <w:sz w:val="20"/>
              </w:rPr>
              <w:t>Duration</w:t>
            </w:r>
          </w:p>
        </w:tc>
      </w:tr>
      <w:tr>
        <w:trPr>
          <w:cantSplit/>
        </w:trPr>
        <w:tc>
          <w:tcPr>
            <w:tcW w:type="dxa" w:w="1656"/>
            <w:shd w:val="clear" w:color="auto" w:fill="F2F4F7"/>
          </w:tcPr>
          <w:p>
            <w:pPr>
              <w:keepLines/>
            </w:pPr>
            <w:r/>
            <w:r>
              <w:rPr>
                <w:rFonts w:ascii="Arial" w:hAnsi="Arial"/>
                <w:b w:val="0"/>
                <w:sz w:val="19"/>
              </w:rPr>
              <w:t>9:30 – 9:40</w:t>
            </w:r>
          </w:p>
        </w:tc>
        <w:tc>
          <w:tcPr>
            <w:tcW w:type="dxa" w:w="7416"/>
            <w:shd w:val="clear" w:color="auto" w:fill="F2F4F7"/>
          </w:tcPr>
          <w:p>
            <w:pPr>
              <w:keepLines/>
            </w:pPr>
            <w:r/>
            <w:r>
              <w:rPr>
                <w:rFonts w:ascii="Arial" w:hAnsi="Arial"/>
                <w:b w:val="0"/>
                <w:sz w:val="19"/>
              </w:rPr>
              <w:t>Day 1 recap and AM digital attendance</w:t>
            </w:r>
          </w:p>
        </w:tc>
        <w:tc>
          <w:tcPr>
            <w:tcW w:type="dxa" w:w="1224"/>
            <w:shd w:val="clear" w:color="auto" w:fill="F2F4F7"/>
          </w:tcPr>
          <w:p>
            <w:pPr>
              <w:keepLines/>
            </w:pPr>
            <w:r/>
            <w:r>
              <w:rPr>
                <w:rFonts w:ascii="Arial" w:hAnsi="Arial"/>
                <w:b w:val="0"/>
                <w:sz w:val="19"/>
              </w:rPr>
              <w:t>10 min</w:t>
            </w:r>
          </w:p>
        </w:tc>
      </w:tr>
      <w:tr>
        <w:trPr>
          <w:cantSplit/>
        </w:trPr>
        <w:tc>
          <w:tcPr>
            <w:tcW w:type="dxa" w:w="1656"/>
            <w:shd w:val="clear" w:color="auto" w:fill="E8F0FE"/>
          </w:tcPr>
          <w:p>
            <w:pPr>
              <w:keepLines/>
            </w:pPr>
            <w:r/>
            <w:r>
              <w:rPr>
                <w:rFonts w:ascii="Arial" w:hAnsi="Arial"/>
                <w:b w:val="0"/>
                <w:sz w:val="19"/>
              </w:rPr>
              <w:t>9:40 – 10:00</w:t>
            </w:r>
          </w:p>
        </w:tc>
        <w:tc>
          <w:tcPr>
            <w:tcW w:type="dxa" w:w="7416"/>
            <w:shd w:val="clear" w:color="auto" w:fill="E8F0FE"/>
          </w:tcPr>
          <w:p>
            <w:pPr>
              <w:keepLines/>
            </w:pPr>
            <w:r/>
            <w:r>
              <w:rPr>
                <w:rFonts w:ascii="Arial" w:hAnsi="Arial"/>
                <w:b w:val="0"/>
                <w:sz w:val="19"/>
              </w:rPr>
              <w:t>Prompt injection, jailbreaks, injection carriers and structural control principles (K4)</w:t>
            </w:r>
          </w:p>
        </w:tc>
        <w:tc>
          <w:tcPr>
            <w:tcW w:type="dxa" w:w="1224"/>
            <w:shd w:val="clear" w:color="auto" w:fill="E8F0FE"/>
          </w:tcPr>
          <w:p>
            <w:pPr>
              <w:keepLines/>
            </w:pPr>
            <w:r/>
            <w:r>
              <w:rPr>
                <w:rFonts w:ascii="Arial" w:hAnsi="Arial"/>
                <w:b w:val="0"/>
                <w:sz w:val="19"/>
              </w:rPr>
              <w:t>20 min</w:t>
            </w:r>
          </w:p>
        </w:tc>
      </w:tr>
      <w:tr>
        <w:trPr>
          <w:cantSplit/>
        </w:trPr>
        <w:tc>
          <w:tcPr>
            <w:tcW w:type="dxa" w:w="1656"/>
            <w:shd w:val="clear" w:color="auto" w:fill="E6F7F1"/>
          </w:tcPr>
          <w:p>
            <w:pPr>
              <w:keepLines/>
            </w:pPr>
            <w:r/>
            <w:r>
              <w:rPr>
                <w:rFonts w:ascii="Arial" w:hAnsi="Arial"/>
                <w:b w:val="0"/>
                <w:sz w:val="19"/>
              </w:rPr>
              <w:t>10:00 – 11:00</w:t>
            </w:r>
          </w:p>
        </w:tc>
        <w:tc>
          <w:tcPr>
            <w:tcW w:type="dxa" w:w="7416"/>
            <w:shd w:val="clear" w:color="auto" w:fill="E6F7F1"/>
          </w:tcPr>
          <w:p>
            <w:pPr>
              <w:keepLines/>
            </w:pPr>
            <w:r/>
            <w:r>
              <w:rPr>
                <w:rFonts w:ascii="Arial" w:hAnsi="Arial"/>
                <w:b w:val="0"/>
                <w:sz w:val="19"/>
              </w:rPr>
              <w:t>Activity 2: Prompt Injection and the PDPA Breach Decision (K4, K1)</w:t>
            </w:r>
          </w:p>
        </w:tc>
        <w:tc>
          <w:tcPr>
            <w:tcW w:type="dxa" w:w="1224"/>
            <w:shd w:val="clear" w:color="auto" w:fill="E6F7F1"/>
          </w:tcPr>
          <w:p>
            <w:pPr>
              <w:keepLines/>
            </w:pPr>
            <w:r/>
            <w:r>
              <w:rPr>
                <w:rFonts w:ascii="Arial" w:hAnsi="Arial"/>
                <w:b w:val="0"/>
                <w:sz w:val="19"/>
              </w:rPr>
              <w:t>60 min</w:t>
            </w:r>
          </w:p>
        </w:tc>
      </w:tr>
      <w:tr>
        <w:trPr>
          <w:cantSplit/>
        </w:trPr>
        <w:tc>
          <w:tcPr>
            <w:tcW w:type="dxa" w:w="1656"/>
            <w:shd w:val="clear" w:color="auto" w:fill="FDF3E3"/>
          </w:tcPr>
          <w:p>
            <w:pPr>
              <w:keepLines/>
            </w:pPr>
            <w:r/>
            <w:r>
              <w:rPr>
                <w:rFonts w:ascii="Arial" w:hAnsi="Arial"/>
                <w:b w:val="0"/>
                <w:sz w:val="19"/>
              </w:rPr>
              <w:t>11:00 – 11:15</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11:15 – 11:40</w:t>
            </w:r>
          </w:p>
        </w:tc>
        <w:tc>
          <w:tcPr>
            <w:tcW w:type="dxa" w:w="7416"/>
            <w:shd w:val="clear" w:color="auto" w:fill="E8F0FE"/>
          </w:tcPr>
          <w:p>
            <w:pPr>
              <w:keepLines/>
            </w:pPr>
            <w:r/>
            <w:r>
              <w:rPr>
                <w:rFonts w:ascii="Arial" w:hAnsi="Arial"/>
                <w:b w:val="0"/>
                <w:sz w:val="19"/>
              </w:rPr>
              <w:t>Personal data, secrets, tokens, retention, transfers and the PDPA breach decision</w:t>
            </w:r>
          </w:p>
        </w:tc>
        <w:tc>
          <w:tcPr>
            <w:tcW w:type="dxa" w:w="1224"/>
            <w:shd w:val="clear" w:color="auto" w:fill="E8F0FE"/>
          </w:tcPr>
          <w:p>
            <w:pPr>
              <w:keepLines/>
            </w:pPr>
            <w:r/>
            <w:r>
              <w:rPr>
                <w:rFonts w:ascii="Arial" w:hAnsi="Arial"/>
                <w:b w:val="0"/>
                <w:sz w:val="19"/>
              </w:rPr>
              <w:t>25 min</w:t>
            </w:r>
          </w:p>
        </w:tc>
      </w:tr>
      <w:tr>
        <w:trPr>
          <w:cantSplit/>
        </w:trPr>
        <w:tc>
          <w:tcPr>
            <w:tcW w:type="dxa" w:w="1656"/>
            <w:shd w:val="clear" w:color="auto" w:fill="E8F0FE"/>
          </w:tcPr>
          <w:p>
            <w:pPr>
              <w:keepLines/>
            </w:pPr>
            <w:r/>
            <w:r>
              <w:rPr>
                <w:rFonts w:ascii="Arial" w:hAnsi="Arial"/>
                <w:b w:val="0"/>
                <w:sz w:val="19"/>
              </w:rPr>
              <w:t>11:40 – 12:00</w:t>
            </w:r>
          </w:p>
        </w:tc>
        <w:tc>
          <w:tcPr>
            <w:tcW w:type="dxa" w:w="7416"/>
            <w:shd w:val="clear" w:color="auto" w:fill="E8F0FE"/>
          </w:tcPr>
          <w:p>
            <w:pPr>
              <w:keepLines/>
            </w:pPr>
            <w:r/>
            <w:r>
              <w:rPr>
                <w:rFonts w:ascii="Arial" w:hAnsi="Arial"/>
                <w:b w:val="0"/>
                <w:sz w:val="19"/>
              </w:rPr>
              <w:t>Framework stack followed by detailed agentic-threat and documented-case instruction (A3, K5)</w:t>
            </w:r>
          </w:p>
        </w:tc>
        <w:tc>
          <w:tcPr>
            <w:tcW w:type="dxa" w:w="1224"/>
            <w:shd w:val="clear" w:color="auto" w:fill="E8F0FE"/>
          </w:tcPr>
          <w:p>
            <w:pPr>
              <w:keepLines/>
            </w:pPr>
            <w:r/>
            <w:r>
              <w:rPr>
                <w:rFonts w:ascii="Arial" w:hAnsi="Arial"/>
                <w:b w:val="0"/>
                <w:sz w:val="19"/>
              </w:rPr>
              <w:t>20 min</w:t>
            </w:r>
          </w:p>
        </w:tc>
      </w:tr>
      <w:tr>
        <w:trPr>
          <w:cantSplit/>
        </w:trPr>
        <w:tc>
          <w:tcPr>
            <w:tcW w:type="dxa" w:w="1656"/>
            <w:shd w:val="clear" w:color="auto" w:fill="E6F7F1"/>
          </w:tcPr>
          <w:p>
            <w:pPr>
              <w:keepLines/>
            </w:pPr>
            <w:r/>
            <w:r>
              <w:rPr>
                <w:rFonts w:ascii="Arial" w:hAnsi="Arial"/>
                <w:b w:val="0"/>
                <w:sz w:val="19"/>
              </w:rPr>
              <w:t>12:00 – 1:00</w:t>
            </w:r>
          </w:p>
        </w:tc>
        <w:tc>
          <w:tcPr>
            <w:tcW w:type="dxa" w:w="7416"/>
            <w:shd w:val="clear" w:color="auto" w:fill="E6F7F1"/>
          </w:tcPr>
          <w:p>
            <w:pPr>
              <w:keepLines/>
            </w:pPr>
            <w:r/>
            <w:r>
              <w:rPr>
                <w:rFonts w:ascii="Arial" w:hAnsi="Arial"/>
                <w:b w:val="0"/>
                <w:sz w:val="19"/>
              </w:rPr>
              <w:t>Activity 3: Selecting a Security Framework for GenAI and Agents (A3, A5)</w:t>
            </w:r>
          </w:p>
        </w:tc>
        <w:tc>
          <w:tcPr>
            <w:tcW w:type="dxa" w:w="1224"/>
            <w:shd w:val="clear" w:color="auto" w:fill="E6F7F1"/>
          </w:tcPr>
          <w:p>
            <w:pPr>
              <w:keepLines/>
            </w:pPr>
            <w:r/>
            <w:r>
              <w:rPr>
                <w:rFonts w:ascii="Arial" w:hAnsi="Arial"/>
                <w:b w:val="0"/>
                <w:sz w:val="19"/>
              </w:rPr>
              <w:t>60 min</w:t>
            </w:r>
          </w:p>
        </w:tc>
      </w:tr>
      <w:tr>
        <w:trPr>
          <w:cantSplit/>
        </w:trPr>
        <w:tc>
          <w:tcPr>
            <w:tcW w:type="dxa" w:w="1656"/>
            <w:shd w:val="clear" w:color="auto" w:fill="FDF3E3"/>
          </w:tcPr>
          <w:p>
            <w:pPr>
              <w:keepLines/>
            </w:pPr>
            <w:r/>
            <w:r>
              <w:rPr>
                <w:rFonts w:ascii="Arial" w:hAnsi="Arial"/>
                <w:b w:val="0"/>
                <w:sz w:val="19"/>
              </w:rPr>
              <w:t>1:00 – 2:00</w:t>
            </w:r>
          </w:p>
        </w:tc>
        <w:tc>
          <w:tcPr>
            <w:tcW w:type="dxa" w:w="7416"/>
            <w:shd w:val="clear" w:color="auto" w:fill="FDF3E3"/>
          </w:tcPr>
          <w:p>
            <w:pPr>
              <w:keepLines/>
            </w:pPr>
            <w:r/>
            <w:r>
              <w:rPr>
                <w:rFonts w:ascii="Arial" w:hAnsi="Arial"/>
                <w:b w:val="0"/>
                <w:sz w:val="19"/>
              </w:rPr>
              <w:t>Lunch break</w:t>
            </w:r>
          </w:p>
        </w:tc>
        <w:tc>
          <w:tcPr>
            <w:tcW w:type="dxa" w:w="1224"/>
            <w:shd w:val="clear" w:color="auto" w:fill="FDF3E3"/>
          </w:tcPr>
          <w:p>
            <w:pPr>
              <w:keepLines/>
            </w:pPr>
            <w:r/>
            <w:r>
              <w:rPr>
                <w:rFonts w:ascii="Arial" w:hAnsi="Arial"/>
                <w:b w:val="0"/>
                <w:sz w:val="19"/>
              </w:rPr>
              <w:t>60 min</w:t>
            </w:r>
          </w:p>
        </w:tc>
      </w:tr>
      <w:tr>
        <w:trPr>
          <w:cantSplit/>
        </w:trPr>
        <w:tc>
          <w:tcPr>
            <w:tcW w:type="dxa" w:w="1656"/>
            <w:shd w:val="clear" w:color="auto" w:fill="E8F0FE"/>
          </w:tcPr>
          <w:p>
            <w:pPr>
              <w:keepLines/>
            </w:pPr>
            <w:r/>
            <w:r>
              <w:rPr>
                <w:rFonts w:ascii="Arial" w:hAnsi="Arial"/>
                <w:b w:val="0"/>
                <w:sz w:val="19"/>
              </w:rPr>
              <w:t>2:00 – 2:30</w:t>
            </w:r>
          </w:p>
        </w:tc>
        <w:tc>
          <w:tcPr>
            <w:tcW w:type="dxa" w:w="7416"/>
            <w:shd w:val="clear" w:color="auto" w:fill="E8F0FE"/>
          </w:tcPr>
          <w:p>
            <w:pPr>
              <w:keepLines/>
            </w:pPr>
            <w:r/>
            <w:r>
              <w:rPr>
                <w:rFonts w:ascii="Arial" w:hAnsi="Arial"/>
                <w:b w:val="0"/>
                <w:sz w:val="19"/>
              </w:rPr>
              <w:t>Activity 3 debrief and evidence bridge into the documented incident review</w:t>
            </w:r>
          </w:p>
        </w:tc>
        <w:tc>
          <w:tcPr>
            <w:tcW w:type="dxa" w:w="1224"/>
            <w:shd w:val="clear" w:color="auto" w:fill="E8F0FE"/>
          </w:tcPr>
          <w:p>
            <w:pPr>
              <w:keepLines/>
            </w:pPr>
            <w:r/>
            <w:r>
              <w:rPr>
                <w:rFonts w:ascii="Arial" w:hAnsi="Arial"/>
                <w:b w:val="0"/>
                <w:sz w:val="19"/>
              </w:rPr>
              <w:t>30 min</w:t>
            </w:r>
          </w:p>
        </w:tc>
      </w:tr>
      <w:tr>
        <w:trPr>
          <w:cantSplit/>
        </w:trPr>
        <w:tc>
          <w:tcPr>
            <w:tcW w:type="dxa" w:w="1656"/>
            <w:shd w:val="clear" w:color="auto" w:fill="E6F7F1"/>
          </w:tcPr>
          <w:p>
            <w:pPr>
              <w:keepLines/>
            </w:pPr>
            <w:r/>
            <w:r>
              <w:rPr>
                <w:rFonts w:ascii="Arial" w:hAnsi="Arial"/>
                <w:b w:val="0"/>
                <w:sz w:val="19"/>
              </w:rPr>
              <w:t>2:30 – 3:30</w:t>
            </w:r>
          </w:p>
        </w:tc>
        <w:tc>
          <w:tcPr>
            <w:tcW w:type="dxa" w:w="7416"/>
            <w:shd w:val="clear" w:color="auto" w:fill="E6F7F1"/>
          </w:tcPr>
          <w:p>
            <w:pPr>
              <w:keepLines/>
            </w:pPr>
            <w:r/>
            <w:r>
              <w:rPr>
                <w:rFonts w:ascii="Arial" w:hAnsi="Arial"/>
                <w:b w:val="0"/>
                <w:sz w:val="19"/>
              </w:rPr>
              <w:t>Activity 4: Evidence-Based Rogue Agent Incident Review (K5)</w:t>
            </w:r>
          </w:p>
        </w:tc>
        <w:tc>
          <w:tcPr>
            <w:tcW w:type="dxa" w:w="1224"/>
            <w:shd w:val="clear" w:color="auto" w:fill="E6F7F1"/>
          </w:tcPr>
          <w:p>
            <w:pPr>
              <w:keepLines/>
            </w:pPr>
            <w:r/>
            <w:r>
              <w:rPr>
                <w:rFonts w:ascii="Arial" w:hAnsi="Arial"/>
                <w:b w:val="0"/>
                <w:sz w:val="19"/>
              </w:rPr>
              <w:t>60 min</w:t>
            </w:r>
          </w:p>
        </w:tc>
      </w:tr>
      <w:tr>
        <w:trPr>
          <w:cantSplit/>
        </w:trPr>
        <w:tc>
          <w:tcPr>
            <w:tcW w:type="dxa" w:w="1656"/>
            <w:shd w:val="clear" w:color="auto" w:fill="FDF3E3"/>
          </w:tcPr>
          <w:p>
            <w:pPr>
              <w:keepLines/>
            </w:pPr>
            <w:r/>
            <w:r>
              <w:rPr>
                <w:rFonts w:ascii="Arial" w:hAnsi="Arial"/>
                <w:b w:val="0"/>
                <w:sz w:val="19"/>
              </w:rPr>
              <w:t>3:30 – 3:45</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3:45 – 4:10</w:t>
            </w:r>
          </w:p>
        </w:tc>
        <w:tc>
          <w:tcPr>
            <w:tcW w:type="dxa" w:w="7416"/>
            <w:shd w:val="clear" w:color="auto" w:fill="E8F0FE"/>
          </w:tcPr>
          <w:p>
            <w:pPr>
              <w:keepLines/>
            </w:pPr>
            <w:r/>
            <w:r>
              <w:rPr>
                <w:rFonts w:ascii="Arial" w:hAnsi="Arial"/>
                <w:b w:val="0"/>
                <w:sz w:val="19"/>
              </w:rPr>
              <w:t>Organisational controls: guardrails, HITL, sandbox, egress, monitoring, deployment and incident gates (A1, A2)</w:t>
            </w:r>
          </w:p>
        </w:tc>
        <w:tc>
          <w:tcPr>
            <w:tcW w:type="dxa" w:w="1224"/>
            <w:shd w:val="clear" w:color="auto" w:fill="E8F0FE"/>
          </w:tcPr>
          <w:p>
            <w:pPr>
              <w:keepLines/>
            </w:pPr>
            <w:r/>
            <w:r>
              <w:rPr>
                <w:rFonts w:ascii="Arial" w:hAnsi="Arial"/>
                <w:b w:val="0"/>
                <w:sz w:val="19"/>
              </w:rPr>
              <w:t>25 min</w:t>
            </w:r>
          </w:p>
        </w:tc>
      </w:tr>
      <w:tr>
        <w:trPr>
          <w:cantSplit/>
        </w:trPr>
        <w:tc>
          <w:tcPr>
            <w:tcW w:type="dxa" w:w="1656"/>
            <w:shd w:val="clear" w:color="auto" w:fill="E6F7F1"/>
          </w:tcPr>
          <w:p>
            <w:pPr>
              <w:keepLines/>
            </w:pPr>
            <w:r/>
            <w:r>
              <w:rPr>
                <w:rFonts w:ascii="Arial" w:hAnsi="Arial"/>
                <w:b w:val="0"/>
                <w:sz w:val="19"/>
              </w:rPr>
              <w:t>4:10 – 4:35</w:t>
            </w:r>
          </w:p>
        </w:tc>
        <w:tc>
          <w:tcPr>
            <w:tcW w:type="dxa" w:w="7416"/>
            <w:shd w:val="clear" w:color="auto" w:fill="E6F7F1"/>
          </w:tcPr>
          <w:p>
            <w:pPr>
              <w:keepLines/>
            </w:pPr>
            <w:r/>
            <w:r>
              <w:rPr>
                <w:rFonts w:ascii="Arial" w:hAnsi="Arial"/>
                <w:b w:val="0"/>
                <w:sz w:val="19"/>
              </w:rPr>
              <w:t>Activity 5: Agent Governance and the Deployment Gate (A1, A2)</w:t>
            </w:r>
          </w:p>
        </w:tc>
        <w:tc>
          <w:tcPr>
            <w:tcW w:type="dxa" w:w="1224"/>
            <w:shd w:val="clear" w:color="auto" w:fill="E6F7F1"/>
          </w:tcPr>
          <w:p>
            <w:pPr>
              <w:keepLines/>
            </w:pPr>
            <w:r/>
            <w:r>
              <w:rPr>
                <w:rFonts w:ascii="Arial" w:hAnsi="Arial"/>
                <w:b w:val="0"/>
                <w:sz w:val="19"/>
              </w:rPr>
              <w:t>25 min</w:t>
            </w:r>
          </w:p>
        </w:tc>
      </w:tr>
      <w:tr>
        <w:trPr>
          <w:cantSplit/>
        </w:trPr>
        <w:tc>
          <w:tcPr>
            <w:tcW w:type="dxa" w:w="1656"/>
            <w:shd w:val="clear" w:color="auto" w:fill="F2F4F7"/>
          </w:tcPr>
          <w:p>
            <w:pPr>
              <w:keepLines/>
            </w:pPr>
            <w:r/>
            <w:r>
              <w:rPr>
                <w:rFonts w:ascii="Arial" w:hAnsi="Arial"/>
                <w:b w:val="0"/>
                <w:sz w:val="19"/>
              </w:rPr>
              <w:t>4:35 – 4:50</w:t>
            </w:r>
          </w:p>
        </w:tc>
        <w:tc>
          <w:tcPr>
            <w:tcW w:type="dxa" w:w="7416"/>
            <w:shd w:val="clear" w:color="auto" w:fill="F2F4F7"/>
          </w:tcPr>
          <w:p>
            <w:pPr>
              <w:keepLines/>
            </w:pPr>
            <w:r/>
            <w:r>
              <w:rPr>
                <w:rFonts w:ascii="Arial" w:hAnsi="Arial"/>
                <w:b w:val="0"/>
                <w:sz w:val="19"/>
              </w:rPr>
              <w:t>Course synthesis, assessment briefing and PM digital attendance</w:t>
            </w:r>
          </w:p>
        </w:tc>
        <w:tc>
          <w:tcPr>
            <w:tcW w:type="dxa" w:w="1224"/>
            <w:shd w:val="clear" w:color="auto" w:fill="F2F4F7"/>
          </w:tcPr>
          <w:p>
            <w:pPr>
              <w:keepLines/>
            </w:pPr>
            <w:r/>
            <w:r>
              <w:rPr>
                <w:rFonts w:ascii="Arial" w:hAnsi="Arial"/>
                <w:b w:val="0"/>
                <w:sz w:val="19"/>
              </w:rPr>
              <w:t>15 min</w:t>
            </w:r>
          </w:p>
        </w:tc>
      </w:tr>
      <w:tr>
        <w:trPr>
          <w:cantSplit/>
        </w:trPr>
        <w:tc>
          <w:tcPr>
            <w:tcW w:type="dxa" w:w="1656"/>
            <w:shd w:val="clear" w:color="auto" w:fill="FDECEC"/>
          </w:tcPr>
          <w:p>
            <w:pPr>
              <w:keepLines/>
            </w:pPr>
            <w:r/>
            <w:r>
              <w:rPr>
                <w:rFonts w:ascii="Arial" w:hAnsi="Arial"/>
                <w:b w:val="0"/>
                <w:sz w:val="19"/>
              </w:rPr>
              <w:t>4:50 – 5:50</w:t>
            </w:r>
          </w:p>
        </w:tc>
        <w:tc>
          <w:tcPr>
            <w:tcW w:type="dxa" w:w="7416"/>
            <w:shd w:val="clear" w:color="auto" w:fill="FDECEC"/>
          </w:tcPr>
          <w:p>
            <w:pPr>
              <w:keepLines/>
            </w:pPr>
            <w:r/>
            <w:r>
              <w:rPr>
                <w:rFonts w:ascii="Arial" w:hAnsi="Arial"/>
                <w:b w:val="0"/>
                <w:sz w:val="19"/>
              </w:rPr>
              <w:t>Assessment 1: Written Assessment (SAQ) — 5 questions · 40 marks · 60 min</w:t>
            </w:r>
          </w:p>
        </w:tc>
        <w:tc>
          <w:tcPr>
            <w:tcW w:type="dxa" w:w="1224"/>
            <w:shd w:val="clear" w:color="auto" w:fill="FDECEC"/>
          </w:tcPr>
          <w:p>
            <w:pPr>
              <w:keepLines/>
            </w:pPr>
            <w:r/>
            <w:r>
              <w:rPr>
                <w:rFonts w:ascii="Arial" w:hAnsi="Arial"/>
                <w:b w:val="0"/>
                <w:sz w:val="19"/>
              </w:rPr>
              <w:t>60 min</w:t>
            </w:r>
          </w:p>
        </w:tc>
      </w:tr>
      <w:tr>
        <w:trPr>
          <w:cantSplit/>
        </w:trPr>
        <w:tc>
          <w:tcPr>
            <w:tcW w:type="dxa" w:w="1656"/>
            <w:shd w:val="clear" w:color="auto" w:fill="FDECEC"/>
          </w:tcPr>
          <w:p>
            <w:pPr>
              <w:keepLines/>
            </w:pPr>
            <w:r/>
            <w:r>
              <w:rPr>
                <w:rFonts w:ascii="Arial" w:hAnsi="Arial"/>
                <w:b w:val="0"/>
                <w:sz w:val="19"/>
              </w:rPr>
              <w:t>5:50 – 6:30</w:t>
            </w:r>
          </w:p>
        </w:tc>
        <w:tc>
          <w:tcPr>
            <w:tcW w:type="dxa" w:w="7416"/>
            <w:shd w:val="clear" w:color="auto" w:fill="FDECEC"/>
          </w:tcPr>
          <w:p>
            <w:pPr>
              <w:keepLines/>
            </w:pPr>
            <w:r/>
            <w:r>
              <w:rPr>
                <w:rFonts w:ascii="Arial" w:hAnsi="Arial"/>
                <w:b w:val="0"/>
                <w:sz w:val="19"/>
              </w:rPr>
              <w:t>Assessment 2: Case Study — 3 questions · 70 marks · 40 min; TRAQOM close</w:t>
            </w:r>
          </w:p>
        </w:tc>
        <w:tc>
          <w:tcPr>
            <w:tcW w:type="dxa" w:w="1224"/>
            <w:shd w:val="clear" w:color="auto" w:fill="FDECEC"/>
          </w:tcPr>
          <w:p>
            <w:pPr>
              <w:keepLines/>
            </w:pPr>
            <w:r/>
            <w:r>
              <w:rPr>
                <w:rFonts w:ascii="Arial" w:hAnsi="Arial"/>
                <w:b w:val="0"/>
                <w:sz w:val="19"/>
              </w:rPr>
              <w:t>40 min</w:t>
            </w:r>
          </w:p>
        </w:tc>
      </w:tr>
    </w:tbl>
    <w:p>
      <w:pPr>
        <w:spacing w:after="120"/>
      </w:pPr>
      <w:r>
        <w:rPr>
          <w:rFonts w:ascii="Arial" w:hAnsi="Arial"/>
          <w:b w:val="0"/>
          <w:color w:val="111827"/>
          <w:sz w:val="22"/>
        </w:rPr>
      </w:r>
    </w:p>
    <w:p>
      <w:pPr>
        <w:spacing w:after="120"/>
      </w:pPr>
      <w:r>
        <w:rPr>
          <w:rFonts w:ascii="Arial" w:hAnsi="Arial"/>
          <w:b/>
          <w:color w:val="111827"/>
          <w:sz w:val="20"/>
        </w:rPr>
        <w:t>Day 2 instructional total: 480 minutes (8 hours), excluding the 1-hour lunch break.</w:t>
      </w:r>
    </w:p>
    <w:p>
      <w:r>
        <w:br w:type="page"/>
      </w:r>
    </w:p>
    <w:p>
      <w:pPr>
        <w:pStyle w:val="Heading1"/>
      </w:pPr>
      <w:r>
        <w:t>3. Activities</w:t>
      </w:r>
    </w:p>
    <w:p>
      <w:pPr>
        <w:spacing w:after="120"/>
      </w:pPr>
      <w:r>
        <w:rPr>
          <w:rFonts w:ascii="Arial" w:hAnsi="Arial"/>
          <w:b w:val="0"/>
          <w:color w:val="111827"/>
          <w:sz w:val="22"/>
        </w:rPr>
        <w:t>Every activity is either a clearly labelled realistic simulation or an evidence-based documented-case review. Each has its own folder under activities/ containing learner instructions, scenarios, discussion questions, checklists and printable PDFs. Full step-by-step facilitation detail is in the Learner Guide.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576"/>
            <w:shd w:val="clear" w:color="auto" w:fill="1F6FEB"/>
          </w:tcPr>
          <w:p>
            <w:pPr>
              <w:keepNext/>
              <w:keepLines/>
            </w:pPr>
            <w:r/>
            <w:r>
              <w:rPr>
                <w:rFonts w:ascii="Arial" w:hAnsi="Arial"/>
                <w:b/>
                <w:color w:val="FFFFFF"/>
                <w:sz w:val="20"/>
              </w:rPr>
              <w:t>#</w:t>
            </w:r>
          </w:p>
        </w:tc>
        <w:tc>
          <w:tcPr>
            <w:tcW w:type="dxa" w:w="5184"/>
            <w:shd w:val="clear" w:color="auto" w:fill="1F6FEB"/>
          </w:tcPr>
          <w:p>
            <w:pPr>
              <w:keepNext/>
              <w:keepLines/>
            </w:pPr>
            <w:r/>
            <w:r>
              <w:rPr>
                <w:rFonts w:ascii="Arial" w:hAnsi="Arial"/>
                <w:b/>
                <w:color w:val="FFFFFF"/>
                <w:sz w:val="20"/>
              </w:rPr>
              <w:t>Activity</w:t>
            </w:r>
          </w:p>
        </w:tc>
        <w:tc>
          <w:tcPr>
            <w:tcW w:type="dxa" w:w="720"/>
            <w:shd w:val="clear" w:color="auto" w:fill="1F6FEB"/>
          </w:tcPr>
          <w:p>
            <w:pPr>
              <w:keepNext/>
              <w:keepLines/>
            </w:pPr>
            <w:r/>
            <w:r>
              <w:rPr>
                <w:rFonts w:ascii="Arial" w:hAnsi="Arial"/>
                <w:b/>
                <w:color w:val="FFFFFF"/>
                <w:sz w:val="20"/>
              </w:rPr>
              <w:t>Day</w:t>
            </w:r>
          </w:p>
        </w:tc>
        <w:tc>
          <w:tcPr>
            <w:tcW w:type="dxa" w:w="1296"/>
            <w:shd w:val="clear" w:color="auto" w:fill="1F6FEB"/>
          </w:tcPr>
          <w:p>
            <w:pPr>
              <w:keepNext/>
              <w:keepLines/>
            </w:pPr>
            <w:r/>
            <w:r>
              <w:rPr>
                <w:rFonts w:ascii="Arial" w:hAnsi="Arial"/>
                <w:b/>
                <w:color w:val="FFFFFF"/>
                <w:sz w:val="20"/>
              </w:rPr>
              <w:t>Duration</w:t>
            </w:r>
          </w:p>
        </w:tc>
        <w:tc>
          <w:tcPr>
            <w:tcW w:type="dxa" w:w="2520"/>
            <w:shd w:val="clear" w:color="auto" w:fill="1F6FEB"/>
          </w:tcPr>
          <w:p>
            <w:pPr>
              <w:keepNext/>
              <w:keepLines/>
            </w:pPr>
            <w:r/>
            <w:r>
              <w:rPr>
                <w:rFonts w:ascii="Arial" w:hAnsi="Arial"/>
                <w:b/>
                <w:color w:val="FFFFFF"/>
                <w:sz w:val="20"/>
              </w:rPr>
              <w:t>K/A assessed</w:t>
            </w:r>
          </w:p>
        </w:tc>
      </w:tr>
      <w:tr>
        <w:trPr>
          <w:cantSplit/>
        </w:trPr>
        <w:tc>
          <w:tcPr>
            <w:tcW w:type="dxa" w:w="576"/>
          </w:tcPr>
          <w:p>
            <w:pPr>
              <w:keepNext/>
              <w:keepLines/>
            </w:pPr>
            <w:r/>
            <w:r>
              <w:rPr>
                <w:rFonts w:ascii="Arial" w:hAnsi="Arial"/>
                <w:b/>
                <w:sz w:val="19"/>
              </w:rPr>
              <w:t>1</w:t>
            </w:r>
          </w:p>
        </w:tc>
        <w:tc>
          <w:tcPr>
            <w:tcW w:type="dxa" w:w="5184"/>
          </w:tcPr>
          <w:p>
            <w:pPr>
              <w:keepNext/>
              <w:keepLines/>
            </w:pPr>
            <w:r/>
            <w:r>
              <w:rPr>
                <w:rFonts w:ascii="Arial" w:hAnsi="Arial"/>
                <w:b w:val="0"/>
                <w:sz w:val="19"/>
              </w:rPr>
              <w:t>Threat Modelling a Generative AI Concierge</w:t>
            </w:r>
          </w:p>
        </w:tc>
        <w:tc>
          <w:tcPr>
            <w:tcW w:type="dxa" w:w="720"/>
          </w:tcPr>
          <w:p>
            <w:pPr>
              <w:keepNext/>
              <w:keepLines/>
            </w:pPr>
            <w:r/>
            <w:r>
              <w:rPr>
                <w:rFonts w:ascii="Arial" w:hAnsi="Arial"/>
                <w:b w:val="0"/>
                <w:sz w:val="19"/>
              </w:rPr>
              <w:t>1</w:t>
            </w:r>
          </w:p>
        </w:tc>
        <w:tc>
          <w:tcPr>
            <w:tcW w:type="dxa" w:w="1296"/>
          </w:tcPr>
          <w:p>
            <w:pPr>
              <w:keepNext/>
              <w:keepLines/>
            </w:pPr>
            <w:r/>
            <w:r>
              <w:rPr>
                <w:rFonts w:ascii="Arial" w:hAnsi="Arial"/>
                <w:b w:val="0"/>
                <w:sz w:val="19"/>
              </w:rPr>
              <w:t>45 min</w:t>
            </w:r>
          </w:p>
        </w:tc>
        <w:tc>
          <w:tcPr>
            <w:tcW w:type="dxa" w:w="2520"/>
          </w:tcPr>
          <w:p>
            <w:pPr>
              <w:keepNext/>
              <w:keepLines/>
            </w:pPr>
            <w:r/>
            <w:r>
              <w:rPr>
                <w:rFonts w:ascii="Arial" w:hAnsi="Arial"/>
                <w:b w:val="0"/>
                <w:sz w:val="19"/>
              </w:rPr>
              <w:t>K2, K3, A4</w:t>
            </w:r>
          </w:p>
        </w:tc>
      </w:tr>
      <w:tr>
        <w:trPr>
          <w:cantSplit/>
        </w:trPr>
        <w:tc>
          <w:tcPr>
            <w:tcW w:type="dxa" w:w="576"/>
          </w:tcPr>
          <w:p>
            <w:pPr>
              <w:keepNext/>
              <w:keepLines/>
            </w:pPr>
            <w:r/>
            <w:r>
              <w:rPr>
                <w:rFonts w:ascii="Arial" w:hAnsi="Arial"/>
                <w:b/>
                <w:sz w:val="19"/>
              </w:rPr>
              <w:t>2</w:t>
            </w:r>
          </w:p>
        </w:tc>
        <w:tc>
          <w:tcPr>
            <w:tcW w:type="dxa" w:w="5184"/>
          </w:tcPr>
          <w:p>
            <w:pPr>
              <w:keepNext/>
              <w:keepLines/>
            </w:pPr>
            <w:r/>
            <w:r>
              <w:rPr>
                <w:rFonts w:ascii="Arial" w:hAnsi="Arial"/>
                <w:b w:val="0"/>
                <w:sz w:val="19"/>
              </w:rPr>
              <w:t>Prompt Injection and the PDPA Breach Decision</w:t>
            </w:r>
          </w:p>
        </w:tc>
        <w:tc>
          <w:tcPr>
            <w:tcW w:type="dxa" w:w="720"/>
          </w:tcPr>
          <w:p>
            <w:pPr>
              <w:keepNext/>
              <w:keepLines/>
            </w:pPr>
            <w:r/>
            <w:r>
              <w:rPr>
                <w:rFonts w:ascii="Arial" w:hAnsi="Arial"/>
                <w:b w:val="0"/>
                <w:sz w:val="19"/>
              </w:rPr>
              <w:t>2</w:t>
            </w:r>
          </w:p>
        </w:tc>
        <w:tc>
          <w:tcPr>
            <w:tcW w:type="dxa" w:w="1296"/>
          </w:tcPr>
          <w:p>
            <w:pPr>
              <w:keepNext/>
              <w:keepLines/>
            </w:pPr>
            <w:r/>
            <w:r>
              <w:rPr>
                <w:rFonts w:ascii="Arial" w:hAnsi="Arial"/>
                <w:b w:val="0"/>
                <w:sz w:val="19"/>
              </w:rPr>
              <w:t>60 min</w:t>
            </w:r>
          </w:p>
        </w:tc>
        <w:tc>
          <w:tcPr>
            <w:tcW w:type="dxa" w:w="2520"/>
          </w:tcPr>
          <w:p>
            <w:pPr>
              <w:keepNext/>
              <w:keepLines/>
            </w:pPr>
            <w:r/>
            <w:r>
              <w:rPr>
                <w:rFonts w:ascii="Arial" w:hAnsi="Arial"/>
                <w:b w:val="0"/>
                <w:sz w:val="19"/>
              </w:rPr>
              <w:t>K4, K1</w:t>
            </w:r>
          </w:p>
        </w:tc>
      </w:tr>
      <w:tr>
        <w:trPr>
          <w:cantSplit/>
        </w:trPr>
        <w:tc>
          <w:tcPr>
            <w:tcW w:type="dxa" w:w="576"/>
          </w:tcPr>
          <w:p>
            <w:pPr>
              <w:keepNext/>
              <w:keepLines/>
            </w:pPr>
            <w:r/>
            <w:r>
              <w:rPr>
                <w:rFonts w:ascii="Arial" w:hAnsi="Arial"/>
                <w:b/>
                <w:sz w:val="19"/>
              </w:rPr>
              <w:t>3</w:t>
            </w:r>
          </w:p>
        </w:tc>
        <w:tc>
          <w:tcPr>
            <w:tcW w:type="dxa" w:w="5184"/>
          </w:tcPr>
          <w:p>
            <w:pPr>
              <w:keepNext/>
              <w:keepLines/>
            </w:pPr>
            <w:r/>
            <w:r>
              <w:rPr>
                <w:rFonts w:ascii="Arial" w:hAnsi="Arial"/>
                <w:b w:val="0"/>
                <w:sz w:val="19"/>
              </w:rPr>
              <w:t>Selecting a Security Framework for GenAI and Agents</w:t>
            </w:r>
          </w:p>
        </w:tc>
        <w:tc>
          <w:tcPr>
            <w:tcW w:type="dxa" w:w="720"/>
          </w:tcPr>
          <w:p>
            <w:pPr>
              <w:keepNext/>
              <w:keepLines/>
            </w:pPr>
            <w:r/>
            <w:r>
              <w:rPr>
                <w:rFonts w:ascii="Arial" w:hAnsi="Arial"/>
                <w:b w:val="0"/>
                <w:sz w:val="19"/>
              </w:rPr>
              <w:t>2</w:t>
            </w:r>
          </w:p>
        </w:tc>
        <w:tc>
          <w:tcPr>
            <w:tcW w:type="dxa" w:w="1296"/>
          </w:tcPr>
          <w:p>
            <w:pPr>
              <w:keepNext/>
              <w:keepLines/>
            </w:pPr>
            <w:r/>
            <w:r>
              <w:rPr>
                <w:rFonts w:ascii="Arial" w:hAnsi="Arial"/>
                <w:b w:val="0"/>
                <w:sz w:val="19"/>
              </w:rPr>
              <w:t>60 min</w:t>
            </w:r>
          </w:p>
        </w:tc>
        <w:tc>
          <w:tcPr>
            <w:tcW w:type="dxa" w:w="2520"/>
          </w:tcPr>
          <w:p>
            <w:pPr>
              <w:keepNext/>
              <w:keepLines/>
            </w:pPr>
            <w:r/>
            <w:r>
              <w:rPr>
                <w:rFonts w:ascii="Arial" w:hAnsi="Arial"/>
                <w:b w:val="0"/>
                <w:sz w:val="19"/>
              </w:rPr>
              <w:t>A3, A5</w:t>
            </w:r>
          </w:p>
        </w:tc>
      </w:tr>
      <w:tr>
        <w:trPr>
          <w:cantSplit/>
        </w:trPr>
        <w:tc>
          <w:tcPr>
            <w:tcW w:type="dxa" w:w="576"/>
          </w:tcPr>
          <w:p>
            <w:pPr>
              <w:keepNext/>
              <w:keepLines/>
            </w:pPr>
            <w:r/>
            <w:r>
              <w:rPr>
                <w:rFonts w:ascii="Arial" w:hAnsi="Arial"/>
                <w:b/>
                <w:sz w:val="19"/>
              </w:rPr>
              <w:t>4</w:t>
            </w:r>
          </w:p>
        </w:tc>
        <w:tc>
          <w:tcPr>
            <w:tcW w:type="dxa" w:w="5184"/>
          </w:tcPr>
          <w:p>
            <w:pPr>
              <w:keepNext/>
              <w:keepLines/>
            </w:pPr>
            <w:r/>
            <w:r>
              <w:rPr>
                <w:rFonts w:ascii="Arial" w:hAnsi="Arial"/>
                <w:b w:val="0"/>
                <w:sz w:val="19"/>
              </w:rPr>
              <w:t>Evidence-Based Rogue Agent Incident Review</w:t>
            </w:r>
          </w:p>
        </w:tc>
        <w:tc>
          <w:tcPr>
            <w:tcW w:type="dxa" w:w="720"/>
          </w:tcPr>
          <w:p>
            <w:pPr>
              <w:keepNext/>
              <w:keepLines/>
            </w:pPr>
            <w:r/>
            <w:r>
              <w:rPr>
                <w:rFonts w:ascii="Arial" w:hAnsi="Arial"/>
                <w:b w:val="0"/>
                <w:sz w:val="19"/>
              </w:rPr>
              <w:t>2</w:t>
            </w:r>
          </w:p>
        </w:tc>
        <w:tc>
          <w:tcPr>
            <w:tcW w:type="dxa" w:w="1296"/>
          </w:tcPr>
          <w:p>
            <w:pPr>
              <w:keepNext/>
              <w:keepLines/>
            </w:pPr>
            <w:r/>
            <w:r>
              <w:rPr>
                <w:rFonts w:ascii="Arial" w:hAnsi="Arial"/>
                <w:b w:val="0"/>
                <w:sz w:val="19"/>
              </w:rPr>
              <w:t>60 min</w:t>
            </w:r>
          </w:p>
        </w:tc>
        <w:tc>
          <w:tcPr>
            <w:tcW w:type="dxa" w:w="2520"/>
          </w:tcPr>
          <w:p>
            <w:pPr>
              <w:keepNext/>
              <w:keepLines/>
            </w:pPr>
            <w:r/>
            <w:r>
              <w:rPr>
                <w:rFonts w:ascii="Arial" w:hAnsi="Arial"/>
                <w:b w:val="0"/>
                <w:sz w:val="19"/>
              </w:rPr>
              <w:t>K5</w:t>
            </w:r>
          </w:p>
        </w:tc>
      </w:tr>
      <w:tr>
        <w:trPr>
          <w:cantSplit/>
        </w:trPr>
        <w:tc>
          <w:tcPr>
            <w:tcW w:type="dxa" w:w="576"/>
          </w:tcPr>
          <w:p>
            <w:pPr>
              <w:keepNext w:val="0"/>
              <w:keepLines/>
            </w:pPr>
            <w:r/>
            <w:r>
              <w:rPr>
                <w:rFonts w:ascii="Arial" w:hAnsi="Arial"/>
                <w:b/>
                <w:sz w:val="19"/>
              </w:rPr>
              <w:t>5</w:t>
            </w:r>
          </w:p>
        </w:tc>
        <w:tc>
          <w:tcPr>
            <w:tcW w:type="dxa" w:w="5184"/>
          </w:tcPr>
          <w:p>
            <w:pPr>
              <w:keepNext w:val="0"/>
              <w:keepLines/>
            </w:pPr>
            <w:r/>
            <w:r>
              <w:rPr>
                <w:rFonts w:ascii="Arial" w:hAnsi="Arial"/>
                <w:b w:val="0"/>
                <w:sz w:val="19"/>
              </w:rPr>
              <w:t>Agent Governance and the Deployment Gate (capstone)</w:t>
            </w:r>
          </w:p>
        </w:tc>
        <w:tc>
          <w:tcPr>
            <w:tcW w:type="dxa" w:w="720"/>
          </w:tcPr>
          <w:p>
            <w:pPr>
              <w:keepNext w:val="0"/>
              <w:keepLines/>
            </w:pPr>
            <w:r/>
            <w:r>
              <w:rPr>
                <w:rFonts w:ascii="Arial" w:hAnsi="Arial"/>
                <w:b w:val="0"/>
                <w:sz w:val="19"/>
              </w:rPr>
              <w:t>2</w:t>
            </w:r>
          </w:p>
        </w:tc>
        <w:tc>
          <w:tcPr>
            <w:tcW w:type="dxa" w:w="1296"/>
          </w:tcPr>
          <w:p>
            <w:pPr>
              <w:keepNext w:val="0"/>
              <w:keepLines/>
            </w:pPr>
            <w:r/>
            <w:r>
              <w:rPr>
                <w:rFonts w:ascii="Arial" w:hAnsi="Arial"/>
                <w:b w:val="0"/>
                <w:sz w:val="19"/>
              </w:rPr>
              <w:t>25 min</w:t>
            </w:r>
          </w:p>
        </w:tc>
        <w:tc>
          <w:tcPr>
            <w:tcW w:type="dxa" w:w="2520"/>
          </w:tcPr>
          <w:p>
            <w:pPr>
              <w:keepNext w:val="0"/>
              <w:keepLines/>
            </w:pPr>
            <w:r/>
            <w:r>
              <w:rPr>
                <w:rFonts w:ascii="Arial" w:hAnsi="Arial"/>
                <w:b w:val="0"/>
                <w:sz w:val="19"/>
              </w:rPr>
              <w:t>A1, A2</w:t>
            </w:r>
          </w:p>
        </w:tc>
      </w:tr>
    </w:tbl>
    <w:p>
      <w:pPr>
        <w:pStyle w:val="Heading1"/>
      </w:pPr>
      <w:r>
        <w:t>4. Tools and Resources</w:t>
      </w:r>
    </w:p>
    <w:tbl>
      <w:tblPr>
        <w:tblStyle w:val="TableGrid"/>
        <w:tblW w:type="auto" w:w="0"/>
        <w:tblLook w:firstColumn="1" w:firstRow="1" w:lastColumn="0" w:lastRow="0" w:noHBand="0" w:noVBand="1" w:val="04A0"/>
      </w:tblPr>
      <w:tblGrid>
        <w:gridCol w:w="4320"/>
        <w:gridCol w:w="4320"/>
      </w:tblGrid>
      <w:tr>
        <w:trPr>
          <w:cantSplit/>
        </w:trPr>
        <w:tc>
          <w:tcPr>
            <w:tcW w:type="dxa" w:w="3600"/>
            <w:shd w:val="clear" w:color="auto" w:fill="1F6FEB"/>
          </w:tcPr>
          <w:p>
            <w:pPr>
              <w:keepNext/>
              <w:keepLines/>
            </w:pPr>
            <w:r/>
            <w:r>
              <w:rPr>
                <w:rFonts w:ascii="Arial" w:hAnsi="Arial"/>
                <w:b/>
                <w:color w:val="FFFFFF"/>
                <w:sz w:val="20"/>
              </w:rPr>
              <w:t>Resource</w:t>
            </w:r>
          </w:p>
        </w:tc>
        <w:tc>
          <w:tcPr>
            <w:tcW w:type="dxa" w:w="6696"/>
            <w:shd w:val="clear" w:color="auto" w:fill="1F6FEB"/>
          </w:tcPr>
          <w:p>
            <w:pPr>
              <w:keepNext/>
              <w:keepLines/>
            </w:pPr>
            <w:r/>
            <w:r>
              <w:rPr>
                <w:rFonts w:ascii="Arial" w:hAnsi="Arial"/>
                <w:b/>
                <w:color w:val="FFFFFF"/>
                <w:sz w:val="20"/>
              </w:rPr>
              <w:t>Purpose</w:t>
            </w:r>
          </w:p>
        </w:tc>
      </w:tr>
      <w:tr>
        <w:trPr>
          <w:cantSplit/>
        </w:trPr>
        <w:tc>
          <w:tcPr>
            <w:tcW w:type="dxa" w:w="3600"/>
          </w:tcPr>
          <w:p>
            <w:pPr>
              <w:keepNext/>
              <w:keepLines/>
            </w:pPr>
            <w:r/>
            <w:r>
              <w:rPr>
                <w:rFonts w:ascii="Arial" w:hAnsi="Arial"/>
                <w:b/>
                <w:sz w:val="19"/>
              </w:rPr>
              <w:t>Trainer slide deck (PPTX/PDF)</w:t>
            </w:r>
          </w:p>
        </w:tc>
        <w:tc>
          <w:tcPr>
            <w:tcW w:type="dxa" w:w="6696"/>
          </w:tcPr>
          <w:p>
            <w:pPr>
              <w:keepNext/>
              <w:keepLines/>
            </w:pPr>
            <w:r/>
            <w:r>
              <w:rPr>
                <w:rFonts w:ascii="Arial" w:hAnsi="Arial"/>
                <w:b w:val="0"/>
                <w:sz w:val="19"/>
              </w:rPr>
              <w:t>Facilitation, diagrams and case-study prompts</w:t>
            </w:r>
          </w:p>
        </w:tc>
      </w:tr>
      <w:tr>
        <w:trPr>
          <w:cantSplit/>
        </w:trPr>
        <w:tc>
          <w:tcPr>
            <w:tcW w:type="dxa" w:w="3600"/>
          </w:tcPr>
          <w:p>
            <w:pPr>
              <w:keepNext/>
              <w:keepLines/>
            </w:pPr>
            <w:r/>
            <w:r>
              <w:rPr>
                <w:rFonts w:ascii="Arial" w:hAnsi="Arial"/>
                <w:b/>
                <w:sz w:val="19"/>
              </w:rPr>
              <w:t>Learner Guide</w:t>
            </w:r>
          </w:p>
        </w:tc>
        <w:tc>
          <w:tcPr>
            <w:tcW w:type="dxa" w:w="6696"/>
          </w:tcPr>
          <w:p>
            <w:pPr>
              <w:keepNext/>
              <w:keepLines/>
            </w:pPr>
            <w:r/>
            <w:r>
              <w:rPr>
                <w:rFonts w:ascii="Arial" w:hAnsi="Arial"/>
                <w:b w:val="0"/>
                <w:sz w:val="19"/>
              </w:rPr>
              <w:t>Detailed step-by-step notes and activity walkthroughs</w:t>
            </w:r>
          </w:p>
        </w:tc>
      </w:tr>
      <w:tr>
        <w:trPr>
          <w:cantSplit/>
        </w:trPr>
        <w:tc>
          <w:tcPr>
            <w:tcW w:type="dxa" w:w="3600"/>
          </w:tcPr>
          <w:p>
            <w:pPr>
              <w:keepNext/>
              <w:keepLines/>
            </w:pPr>
            <w:r/>
            <w:r>
              <w:rPr>
                <w:rFonts w:ascii="Arial" w:hAnsi="Arial"/>
                <w:b/>
                <w:sz w:val="19"/>
              </w:rPr>
              <w:t>Activity packs (activities/)</w:t>
            </w:r>
          </w:p>
        </w:tc>
        <w:tc>
          <w:tcPr>
            <w:tcW w:type="dxa" w:w="6696"/>
          </w:tcPr>
          <w:p>
            <w:pPr>
              <w:keepNext/>
              <w:keepLines/>
            </w:pPr>
            <w:r/>
            <w:r>
              <w:rPr>
                <w:rFonts w:ascii="Arial" w:hAnsi="Arial"/>
                <w:b w:val="0"/>
                <w:sz w:val="19"/>
              </w:rPr>
              <w:t>Learner scenarios, discussion questions, checklists and evidence worksheets</w:t>
            </w:r>
          </w:p>
        </w:tc>
      </w:tr>
      <w:tr>
        <w:trPr>
          <w:cantSplit/>
        </w:trPr>
        <w:tc>
          <w:tcPr>
            <w:tcW w:type="dxa" w:w="3600"/>
          </w:tcPr>
          <w:p>
            <w:pPr>
              <w:keepNext/>
              <w:keepLines/>
            </w:pPr>
            <w:r/>
            <w:r>
              <w:rPr>
                <w:rFonts w:ascii="Arial" w:hAnsi="Arial"/>
                <w:b/>
                <w:sz w:val="19"/>
              </w:rPr>
              <w:t>LMS/TMS portal</w:t>
            </w:r>
          </w:p>
        </w:tc>
        <w:tc>
          <w:tcPr>
            <w:tcW w:type="dxa" w:w="6696"/>
          </w:tcPr>
          <w:p>
            <w:pPr>
              <w:keepNext/>
              <w:keepLines/>
            </w:pPr>
            <w:r/>
            <w:r>
              <w:rPr>
                <w:rFonts w:ascii="Arial" w:hAnsi="Arial"/>
                <w:b w:val="0"/>
                <w:sz w:val="19"/>
              </w:rPr>
              <w:t>lms-tms.tertiaryinfotech.com — course material and submission</w:t>
            </w:r>
          </w:p>
        </w:tc>
      </w:tr>
      <w:tr>
        <w:trPr>
          <w:cantSplit/>
        </w:trPr>
        <w:tc>
          <w:tcPr>
            <w:tcW w:type="dxa" w:w="3600"/>
          </w:tcPr>
          <w:p>
            <w:pPr>
              <w:keepNext/>
              <w:keepLines/>
            </w:pPr>
            <w:r/>
            <w:r>
              <w:rPr>
                <w:rFonts w:ascii="Arial" w:hAnsi="Arial"/>
                <w:b/>
                <w:sz w:val="19"/>
              </w:rPr>
              <w:t>Whiteboard / flip chart</w:t>
            </w:r>
          </w:p>
        </w:tc>
        <w:tc>
          <w:tcPr>
            <w:tcW w:type="dxa" w:w="6696"/>
          </w:tcPr>
          <w:p>
            <w:pPr>
              <w:keepNext/>
              <w:keepLines/>
            </w:pPr>
            <w:r/>
            <w:r>
              <w:rPr>
                <w:rFonts w:ascii="Arial" w:hAnsi="Arial"/>
                <w:b w:val="0"/>
                <w:sz w:val="19"/>
              </w:rPr>
              <w:t>Group threat modelling and kill-chain reconstruction</w:t>
            </w:r>
          </w:p>
        </w:tc>
      </w:tr>
      <w:tr>
        <w:trPr>
          <w:cantSplit/>
        </w:trPr>
        <w:tc>
          <w:tcPr>
            <w:tcW w:type="dxa" w:w="3600"/>
          </w:tcPr>
          <w:p>
            <w:pPr>
              <w:keepNext/>
              <w:keepLines/>
            </w:pPr>
            <w:r/>
            <w:r>
              <w:rPr>
                <w:rFonts w:ascii="Arial" w:hAnsi="Arial"/>
                <w:b/>
                <w:sz w:val="19"/>
              </w:rPr>
              <w:t>OWASP LLM &amp; ASI Top 10 (2026)</w:t>
            </w:r>
          </w:p>
        </w:tc>
        <w:tc>
          <w:tcPr>
            <w:tcW w:type="dxa" w:w="6696"/>
          </w:tcPr>
          <w:p>
            <w:pPr>
              <w:keepNext/>
              <w:keepLines/>
            </w:pPr>
            <w:r/>
            <w:r>
              <w:rPr>
                <w:rFonts w:ascii="Arial" w:hAnsi="Arial"/>
                <w:b w:val="0"/>
                <w:sz w:val="19"/>
              </w:rPr>
              <w:t>Reference taxonomies used throughout</w:t>
            </w:r>
          </w:p>
        </w:tc>
      </w:tr>
      <w:tr>
        <w:trPr>
          <w:cantSplit/>
        </w:trPr>
        <w:tc>
          <w:tcPr>
            <w:tcW w:type="dxa" w:w="3600"/>
          </w:tcPr>
          <w:p>
            <w:pPr>
              <w:keepNext w:val="0"/>
              <w:keepLines/>
            </w:pPr>
            <w:r/>
            <w:r>
              <w:rPr>
                <w:rFonts w:ascii="Arial" w:hAnsi="Arial"/>
                <w:b/>
                <w:sz w:val="19"/>
              </w:rPr>
              <w:t>IMDA / PDPC publications</w:t>
            </w:r>
          </w:p>
        </w:tc>
        <w:tc>
          <w:tcPr>
            <w:tcW w:type="dxa" w:w="6696"/>
          </w:tcPr>
          <w:p>
            <w:pPr>
              <w:keepNext w:val="0"/>
              <w:keepLines/>
            </w:pPr>
            <w:r/>
            <w:r>
              <w:rPr>
                <w:rFonts w:ascii="Arial" w:hAnsi="Arial"/>
                <w:b w:val="0"/>
                <w:sz w:val="19"/>
              </w:rPr>
              <w:t>Singapore governance and data-protection reference</w:t>
            </w:r>
          </w:p>
        </w:tc>
      </w:tr>
    </w:tbl>
    <w:p>
      <w:r>
        <w:br w:type="page"/>
      </w:r>
    </w:p>
    <w:p>
      <w:pPr>
        <w:pStyle w:val="Heading1"/>
      </w:pPr>
      <w:r>
        <w:t>5. Assessment</w:t>
      </w:r>
    </w:p>
    <w:p>
      <w:pPr>
        <w:spacing w:after="120"/>
      </w:pPr>
      <w:r>
        <w:rPr>
          <w:rFonts w:ascii="Arial" w:hAnsi="Arial"/>
          <w:b w:val="0"/>
          <w:color w:val="111827"/>
          <w:sz w:val="22"/>
        </w:rPr>
        <w:t>Assessment is conducted at the end of Day 2. The briefing for assessment is delivered before the assessment begins.</w:t>
      </w:r>
    </w:p>
    <w:tbl>
      <w:tblPr>
        <w:tblStyle w:val="TableGrid"/>
        <w:tblW w:type="auto" w:w="0"/>
        <w:tblLook w:firstColumn="1" w:firstRow="1" w:lastColumn="0" w:lastRow="0" w:noHBand="0" w:noVBand="1" w:val="04A0"/>
      </w:tblPr>
      <w:tblGrid>
        <w:gridCol w:w="2880"/>
        <w:gridCol w:w="2880"/>
        <w:gridCol w:w="2880"/>
      </w:tblGrid>
      <w:tr>
        <w:trPr>
          <w:cantSplit/>
        </w:trPr>
        <w:tc>
          <w:tcPr>
            <w:tcW w:type="dxa" w:w="2520"/>
            <w:shd w:val="clear" w:color="auto" w:fill="1F6FEB"/>
          </w:tcPr>
          <w:p>
            <w:pPr>
              <w:keepNext/>
              <w:keepLines/>
            </w:pPr>
            <w:r/>
            <w:r>
              <w:rPr>
                <w:rFonts w:ascii="Arial" w:hAnsi="Arial"/>
                <w:b/>
                <w:color w:val="FFFFFF"/>
                <w:sz w:val="20"/>
              </w:rPr>
              <w:t>Instrument</w:t>
            </w:r>
          </w:p>
        </w:tc>
        <w:tc>
          <w:tcPr>
            <w:tcW w:type="dxa" w:w="1944"/>
            <w:shd w:val="clear" w:color="auto" w:fill="1F6FEB"/>
          </w:tcPr>
          <w:p>
            <w:pPr>
              <w:keepNext/>
              <w:keepLines/>
            </w:pPr>
            <w:r/>
            <w:r>
              <w:rPr>
                <w:rFonts w:ascii="Arial" w:hAnsi="Arial"/>
                <w:b/>
                <w:color w:val="FFFFFF"/>
                <w:sz w:val="20"/>
              </w:rPr>
              <w:t>Covers</w:t>
            </w:r>
          </w:p>
        </w:tc>
        <w:tc>
          <w:tcPr>
            <w:tcW w:type="dxa" w:w="5832"/>
            <w:shd w:val="clear" w:color="auto" w:fill="1F6FEB"/>
          </w:tcPr>
          <w:p>
            <w:pPr>
              <w:keepNext/>
              <w:keepLines/>
            </w:pPr>
            <w:r/>
            <w:r>
              <w:rPr>
                <w:rFonts w:ascii="Arial" w:hAnsi="Arial"/>
                <w:b/>
                <w:color w:val="FFFFFF"/>
                <w:sz w:val="20"/>
              </w:rPr>
              <w:t>Detail</w:t>
            </w:r>
          </w:p>
        </w:tc>
      </w:tr>
      <w:tr>
        <w:trPr>
          <w:cantSplit/>
        </w:trPr>
        <w:tc>
          <w:tcPr>
            <w:tcW w:type="dxa" w:w="2520"/>
          </w:tcPr>
          <w:p>
            <w:pPr>
              <w:keepNext/>
              <w:keepLines/>
            </w:pPr>
            <w:r/>
            <w:r>
              <w:rPr>
                <w:rFonts w:ascii="Arial" w:hAnsi="Arial"/>
                <w:b/>
                <w:sz w:val="19"/>
              </w:rPr>
              <w:t>Written Assessment (SAQ)</w:t>
            </w:r>
          </w:p>
        </w:tc>
        <w:tc>
          <w:tcPr>
            <w:tcW w:type="dxa" w:w="1944"/>
          </w:tcPr>
          <w:p>
            <w:pPr>
              <w:keepNext/>
              <w:keepLines/>
            </w:pPr>
            <w:r/>
            <w:r>
              <w:rPr>
                <w:rFonts w:ascii="Arial" w:hAnsi="Arial"/>
                <w:b w:val="0"/>
                <w:sz w:val="19"/>
              </w:rPr>
              <w:t>K1 – K5</w:t>
            </w:r>
          </w:p>
        </w:tc>
        <w:tc>
          <w:tcPr>
            <w:tcW w:type="dxa" w:w="5832"/>
          </w:tcPr>
          <w:p>
            <w:pPr>
              <w:keepNext/>
              <w:keepLines/>
            </w:pPr>
            <w:r/>
            <w:r>
              <w:rPr>
                <w:rFonts w:ascii="Arial" w:hAnsi="Arial"/>
                <w:b w:val="0"/>
                <w:sz w:val="19"/>
              </w:rPr>
              <w:t>Written Assessment (SAQ) — 5 short-answer questions, one per K statement</w:t>
            </w:r>
          </w:p>
        </w:tc>
      </w:tr>
      <w:tr>
        <w:trPr>
          <w:cantSplit/>
        </w:trPr>
        <w:tc>
          <w:tcPr>
            <w:tcW w:type="dxa" w:w="2520"/>
          </w:tcPr>
          <w:p>
            <w:pPr>
              <w:keepNext/>
              <w:keepLines/>
            </w:pPr>
            <w:r/>
            <w:r>
              <w:rPr>
                <w:rFonts w:ascii="Arial" w:hAnsi="Arial"/>
                <w:b/>
                <w:sz w:val="19"/>
              </w:rPr>
              <w:t>Case Study</w:t>
            </w:r>
          </w:p>
        </w:tc>
        <w:tc>
          <w:tcPr>
            <w:tcW w:type="dxa" w:w="1944"/>
          </w:tcPr>
          <w:p>
            <w:pPr>
              <w:keepNext/>
              <w:keepLines/>
            </w:pPr>
            <w:r/>
            <w:r>
              <w:rPr>
                <w:rFonts w:ascii="Arial" w:hAnsi="Arial"/>
                <w:b w:val="0"/>
                <w:sz w:val="19"/>
              </w:rPr>
              <w:t>A1 – A5 via LO1 – LO3</w:t>
            </w:r>
          </w:p>
        </w:tc>
        <w:tc>
          <w:tcPr>
            <w:tcW w:type="dxa" w:w="5832"/>
          </w:tcPr>
          <w:p>
            <w:pPr>
              <w:keepNext/>
              <w:keepLines/>
            </w:pPr>
            <w:r/>
            <w:r>
              <w:rPr>
                <w:rFonts w:ascii="Arial" w:hAnsi="Arial"/>
                <w:b w:val="0"/>
                <w:sz w:val="19"/>
              </w:rPr>
              <w:t>Case Study — 3 questions, one per Learning Outcome, mapped to the A statements</w:t>
            </w:r>
          </w:p>
        </w:tc>
      </w:tr>
      <w:tr>
        <w:trPr>
          <w:cantSplit/>
        </w:trPr>
        <w:tc>
          <w:tcPr>
            <w:tcW w:type="dxa" w:w="2520"/>
          </w:tcPr>
          <w:p>
            <w:pPr>
              <w:keepNext/>
              <w:keepLines/>
            </w:pPr>
            <w:r/>
            <w:r>
              <w:rPr>
                <w:rFonts w:ascii="Arial" w:hAnsi="Arial"/>
                <w:b/>
                <w:sz w:val="19"/>
              </w:rPr>
              <w:t>Format</w:t>
            </w:r>
          </w:p>
        </w:tc>
        <w:tc>
          <w:tcPr>
            <w:tcW w:type="dxa" w:w="1944"/>
          </w:tcPr>
          <w:p>
            <w:pPr>
              <w:keepNext/>
              <w:keepLines/>
            </w:pPr>
            <w:r/>
            <w:r>
              <w:rPr>
                <w:rFonts w:ascii="Arial" w:hAnsi="Arial"/>
                <w:b w:val="0"/>
                <w:sz w:val="19"/>
              </w:rPr>
              <w:t>—</w:t>
            </w:r>
          </w:p>
        </w:tc>
        <w:tc>
          <w:tcPr>
            <w:tcW w:type="dxa" w:w="5832"/>
          </w:tcPr>
          <w:p>
            <w:pPr>
              <w:keepNext/>
              <w:keepLines/>
            </w:pPr>
            <w:r/>
            <w:r>
              <w:rPr>
                <w:rFonts w:ascii="Arial" w:hAnsi="Arial"/>
                <w:b w:val="0"/>
                <w:sz w:val="19"/>
              </w:rPr>
              <w:t>Open Book</w:t>
            </w:r>
          </w:p>
        </w:tc>
      </w:tr>
      <w:tr>
        <w:trPr>
          <w:cantSplit/>
        </w:trPr>
        <w:tc>
          <w:tcPr>
            <w:tcW w:type="dxa" w:w="2520"/>
          </w:tcPr>
          <w:p>
            <w:pPr>
              <w:keepNext/>
              <w:keepLines/>
            </w:pPr>
            <w:r/>
            <w:r>
              <w:rPr>
                <w:rFonts w:ascii="Arial" w:hAnsi="Arial"/>
                <w:b/>
                <w:sz w:val="19"/>
              </w:rPr>
              <w:t>Grading</w:t>
            </w:r>
          </w:p>
        </w:tc>
        <w:tc>
          <w:tcPr>
            <w:tcW w:type="dxa" w:w="1944"/>
          </w:tcPr>
          <w:p>
            <w:pPr>
              <w:keepNext/>
              <w:keepLines/>
            </w:pPr>
            <w:r/>
            <w:r>
              <w:rPr>
                <w:rFonts w:ascii="Arial" w:hAnsi="Arial"/>
                <w:b w:val="0"/>
                <w:sz w:val="19"/>
              </w:rPr>
              <w:t>—</w:t>
            </w:r>
          </w:p>
        </w:tc>
        <w:tc>
          <w:tcPr>
            <w:tcW w:type="dxa" w:w="5832"/>
          </w:tcPr>
          <w:p>
            <w:pPr>
              <w:keepNext/>
              <w:keepLines/>
            </w:pPr>
            <w:r/>
            <w:r>
              <w:rPr>
                <w:rFonts w:ascii="Arial" w:hAnsi="Arial"/>
                <w:b w:val="0"/>
                <w:sz w:val="19"/>
              </w:rPr>
              <w:t>Competent / Not Yet Competent</w:t>
            </w:r>
          </w:p>
        </w:tc>
      </w:tr>
      <w:tr>
        <w:trPr>
          <w:cantSplit/>
        </w:trPr>
        <w:tc>
          <w:tcPr>
            <w:tcW w:type="dxa" w:w="2520"/>
          </w:tcPr>
          <w:p>
            <w:pPr>
              <w:keepNext w:val="0"/>
              <w:keepLines/>
            </w:pPr>
            <w:r/>
            <w:r>
              <w:rPr>
                <w:rFonts w:ascii="Arial" w:hAnsi="Arial"/>
                <w:b/>
                <w:sz w:val="19"/>
              </w:rPr>
              <w:t>Re-assessment</w:t>
            </w:r>
          </w:p>
        </w:tc>
        <w:tc>
          <w:tcPr>
            <w:tcW w:type="dxa" w:w="1944"/>
          </w:tcPr>
          <w:p>
            <w:pPr>
              <w:keepNext w:val="0"/>
              <w:keepLines/>
            </w:pPr>
            <w:r/>
            <w:r>
              <w:rPr>
                <w:rFonts w:ascii="Arial" w:hAnsi="Arial"/>
                <w:b w:val="0"/>
                <w:sz w:val="19"/>
              </w:rPr>
              <w:t>—</w:t>
            </w:r>
          </w:p>
        </w:tc>
        <w:tc>
          <w:tcPr>
            <w:tcW w:type="dxa" w:w="5832"/>
          </w:tcPr>
          <w:p>
            <w:pPr>
              <w:keepNext w:val="0"/>
              <w:keepLines/>
            </w:pPr>
            <w:r/>
            <w:r>
              <w:rPr>
                <w:rFonts w:ascii="Arial" w:hAnsi="Arial"/>
                <w:b w:val="0"/>
                <w:sz w:val="19"/>
              </w:rPr>
              <w:t>Available for learners assessed Not Yet Competent</w:t>
            </w:r>
          </w:p>
        </w:tc>
      </w:tr>
    </w:tbl>
    <w:p>
      <w:pPr>
        <w:spacing w:after="120"/>
      </w:pPr>
      <w:r>
        <w:rPr>
          <w:rFonts w:ascii="Arial" w:hAnsi="Arial"/>
          <w:b w:val="0"/>
          <w:color w:val="111827"/>
          <w:sz w:val="22"/>
        </w:rPr>
      </w:r>
    </w:p>
    <w:p>
      <w:pPr>
        <w:spacing w:after="120"/>
      </w:pPr>
      <w:r>
        <w:rPr>
          <w:rFonts w:ascii="Arial" w:hAnsi="Arial"/>
          <w:b w:val="0"/>
          <w:color w:val="111827"/>
          <w:sz w:val="20"/>
        </w:rPr>
        <w:t>Funding eligibility requires a minimum 75% attendance recorded through SSG digital attendance, an assessment outcome of Competent, and completion of the TRAQOM survey.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