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Affiliate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TGS-2025060552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two-day affiliate-marketing lesson plan aligned to six connected labs, the approved WA-SAQ and Case Study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Two-Day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1 - Research markets, evaluate offers and build the partner portfolio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2 - Create controlled campaigns, reconcile results and report improvements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and Assessment Traceability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PowerPoint Slide Reference Map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Contingencies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Agentic AI for Affiliate Marketing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TGS-2025060552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Marketing-2 (RET-OTO-2001-1.1)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- 14 instructional hours and 2 assessment hours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9:00 am-6:00 pm; one-hour lunch excluded, tea breaks within scheduled time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briefings, demonstrations and connected Claude Cowork, Skills, MCP and deterministic-data labs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Analyze affiliate marketing trends and provide updates to partners on new retail and hospitality products and services.</w:t>
      </w:r>
    </w:p>
    <w:p>
      <w:pPr>
        <w:pStyle w:val="ListBullet"/>
      </w:pPr>
      <w:r>
        <w:t>LO2: Coordinate with affiliates using strategic research to align partnerships and develop an effective affiliate portfolio.</w:t>
      </w:r>
    </w:p>
    <w:p>
      <w:pPr>
        <w:pStyle w:val="ListBullet"/>
      </w:pPr>
      <w:r>
        <w:t>LO3: Prepare affiliate campaign reports aligned to strategy and ensure compliance with marketing policies and practices.</w:t>
      </w:r>
    </w:p>
    <w:p>
      <w:pPr>
        <w:pStyle w:val="Heading1"/>
      </w:pPr>
      <w:r>
        <w:t>Assessment Strategy</w:t>
      </w:r>
    </w:p>
    <w:p>
      <w:pPr>
        <w:pStyle w:val="ListBullet"/>
      </w:pPr>
      <w:r>
        <w:t>Written Assessment (WA-SAQ): three open-ended LO-grouped questions covering K1-K9, 60 minutes, open book.</w:t>
      </w:r>
    </w:p>
    <w:p>
      <w:pPr>
        <w:pStyle w:val="ListBullet"/>
      </w:pPr>
      <w:r>
        <w:t>Case Study (CS): one coherent scenario with three integrated tasks covering A1-A5, 60 minutes, open book.</w:t>
      </w:r>
    </w:p>
    <w:p>
      <w:pPr>
        <w:pStyle w:val="ListBullet"/>
      </w:pPr>
      <w:r>
        <w:t>Instrument, duration and LO-level mapping mirror the approved Assessment Plan; the Drive Assessment folder contained no legacy question papers.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Brief technical concepts with editable diagrams, data contracts, decision rules and worked metrics; keep click paths in the Learner Guide.</w:t>
      </w:r>
    </w:p>
    <w:p>
      <w:pPr>
        <w:pStyle w:val="ListBullet"/>
      </w:pPr>
      <w:r>
        <w:t>Demonstrate each workflow with supplied sample data before connecting training credentials.</w:t>
      </w:r>
    </w:p>
    <w:p>
      <w:pPr>
        <w:pStyle w:val="ListBullet"/>
      </w:pPr>
      <w:r>
        <w:t>Ask learners to predict the failure path, execute the test, then capture safe evidence.</w:t>
      </w:r>
    </w:p>
    <w:p>
      <w:pPr>
        <w:pStyle w:val="ListBullet"/>
      </w:pPr>
      <w:r>
        <w:t>Use lab acceptance checklists as formative assessment and remediation guides.</w:t>
      </w:r>
    </w:p>
    <w:p>
      <w:pPr>
        <w:pStyle w:val="ListBullet"/>
      </w:pPr>
      <w:r>
        <w:t>Never demonstrate an irreversible schedule or send to a production audience.</w:t>
      </w:r>
    </w:p>
    <w:p>
      <w:pPr>
        <w:pStyle w:val="Heading1"/>
      </w:pPr>
      <w:r>
        <w:t>Two-Day Schedule</w:t>
      </w:r>
    </w:p>
    <w:p>
      <w:pPr>
        <w:pStyle w:val="Heading2"/>
      </w:pPr>
      <w:r>
        <w:t>Day 1 - Research markets, evaluate offers and build the partner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9:00-9:30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outcomes, assessment briefing, digital attendance and learning contract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9:30-10:30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core: controlled affiliate loop, state, evidence, autonomy boundaries and audit records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10:30-10:45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10:45-12:15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1: affiliate foundations, offer economics, trend evidence, Claude Cowork and reusable Skills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12:15-13:00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1 - Affiliate Offer Economics and Niche Fit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13:00-14:00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14:00-15:30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2 - Trend Monitor and Product Update Skill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15:30-15:45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15:45-16:45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2: MCP boundary, partner evidence, due diligence and portfolio principles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16:45-17:45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3 - MCP-Assisted Partner Discovery and Due Diligence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17:45-18:00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Evidence review, Q&amp;A and PM digital attendance</w:t>
            </w:r>
          </w:p>
        </w:tc>
      </w:tr>
    </w:tbl>
    <w:p>
      <w:r>
        <w:rPr>
          <w:i/>
          <w:sz w:val="18"/>
        </w:rPr>
        <w:t>Training time: 480 minutes (8 hours).</w:t>
      </w:r>
    </w:p>
    <w:p>
      <w:pPr>
        <w:pStyle w:val="Heading2"/>
      </w:pPr>
      <w:r>
        <w:t>Day 2 - Create controlled campaigns, reconcile results and report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9:00-9:15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digital attendance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9:15-10:15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4 - Affiliate Portfolio and Communication Agent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10:15-10:30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10:30-11:30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60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3: governed content, tracking contracts, attribution, commission and compliance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11:30-13:00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5 - Brand-Aligned Multi-Channel Campaign Factory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13:00-14:00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14:00-15:30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6 - Attribution, Commission and Performance Reporting Agent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15:30-15:45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15:45-16:00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Course synthesis and assessment readiness check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16:00-17:00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Assessment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Written Assessment WA-SAQ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17:00-18:00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Assessment</w:t>
            </w:r>
          </w:p>
        </w:tc>
        <w:tc>
          <w:tcPr>
            <w:tcW w:type="dxa" w:w="2160"/>
            <w:shd w:val="clear" w:color="auto" w:fill="FCE8E3"/>
          </w:tcPr>
          <w:p>
            <w:r/>
            <w:r>
              <w:rPr>
                <w:rFonts w:ascii="Arial" w:hAnsi="Arial"/>
                <w:b w:val="0"/>
                <w:sz w:val="18"/>
              </w:rPr>
              <w:t>Case Study assessment</w:t>
            </w:r>
          </w:p>
        </w:tc>
      </w:tr>
    </w:tbl>
    <w:p>
      <w:r>
        <w:rPr>
          <w:i/>
          <w:sz w:val="18"/>
        </w:rPr>
        <w:t>Training time: 480 minutes (8 hours).</w:t>
      </w:r>
    </w:p>
    <w:p>
      <w:pPr>
        <w:pStyle w:val="Heading1"/>
      </w:pPr>
      <w:r>
        <w:t>Lab and Assessment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Outcome / criteria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Observable evidence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Assessment bridge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1 - Affiliate Offer Economics and Niche Fit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K1, K5, K6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completed offer-inputs.csv; offer-economics-report.md; source notes; selected offer and rationale; one rejected offer with gate reason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K1, K5 and K6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2 - Trend Monitor and Product Update Skill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 | A1,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skills/affiliate-trend-update/SKILL.md; completed evidence cards; product diff; approved partner update; validator result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A1, A5, K1, K5 and K6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3 - MCP-Assisted Partner Discovery and Due Diligence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LO2 | K2, K3, K7 | A3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affiliate-candidates.csv; source register; due-diligence findings; partner-scorecard.md; human shortlist decision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A3, K2, K3 and K7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4 - Affiliate Portfolio and Communication Agent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LO2 |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portfolio.csv; portfolio-analysis.md; communication-cadence.csv; approved partner brief; message and escalation log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A2, K2, K3 and K7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5 - Brand-Aligned Multi-Channel Campaign Factory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LO3 | K4, K8, K9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campaign-brief.json; four channel drafts; compliance-report.json; resolved findings; human approval hashes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K4, K8 and K9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6 - Attribution, Commission and Performance Reporting Agent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LO3 | A4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click-events.csv; conversion-events.csv; commission-statement.csv; reconciliation-report.md; dashboard.html; approved-progress-report.md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A4, K4, K8 and K9</w:t>
            </w:r>
          </w:p>
        </w:tc>
      </w:tr>
    </w:tbl>
    <w:p>
      <w:pPr>
        <w:pStyle w:val="Heading1"/>
      </w:pPr>
      <w:r>
        <w:t>PowerPoint Slide Reference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Lesson Plan block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Deck boundary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Administration and assessment briefing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2-17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Welcome and Learning Contract -&gt; Access the Hands-On 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18-26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The Controlled Campaign Loop -&gt; Failure Taxonomy Before the Build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27-72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Research and Campaign Planning with Claude Cowork -&gt; LO1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74-79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Offer Economics and Niche Fit -&gt; Lab 1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80-85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Trend Monitor and Product Update Skill -&gt; Lab 2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128-133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MCP-Assisted Partner Discovery and Due Diligence -&gt; Lab 3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134-139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Portfolio and Communication Agent -&gt; Lab 4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86-126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Portfolio and Partner Coordination with Skills and MCP -&gt; LO2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180-185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Brand-Aligned Multi-Channel Campaign Factory -&gt; Lab 5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3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140-178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Campaign Reporting, Compliance and Optimisation with Agentic AI -&gt; LO3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186-191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Attribution, Commission and Performance Reporting Agent -&gt; Lab 6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Revision, assessment and close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192-200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From Evidence to Assessment -&gt; Thank You</w:t>
            </w:r>
          </w:p>
        </w:tc>
      </w:tr>
    </w:tbl>
    <w:p>
      <w:pPr>
        <w:pStyle w:val="Heading1"/>
      </w:pPr>
      <w:r>
        <w:t>Resources and Contingencies</w:t>
      </w:r>
    </w:p>
    <w:p>
      <w:pPr>
        <w:pStyle w:val="ListBullet"/>
      </w:pPr>
      <w:r>
        <w:t>Concept-led PowerPoint deck and PDF mirror.</w:t>
      </w:r>
    </w:p>
    <w:p>
      <w:pPr>
        <w:pStyle w:val="ListBullet"/>
      </w:pPr>
      <w:r>
        <w:t>Learner Guide with detailed procedures and PDF mirror.</w:t>
      </w:r>
    </w:p>
    <w:p>
      <w:pPr>
        <w:pStyle w:val="ListBullet"/>
      </w:pPr>
      <w:r>
        <w:t>Six self-contained lab folders with README, checklist, supplied records, deterministic validators and evidence templates.</w:t>
      </w:r>
    </w:p>
    <w:p>
      <w:pPr>
        <w:pStyle w:val="ListBullet"/>
      </w:pPr>
      <w:r>
        <w:t>If a connector is unavailable, use the supplied offline files and preserve the same data contracts.</w:t>
      </w:r>
    </w:p>
    <w:p>
      <w:pPr>
        <w:pStyle w:val="ListBullet"/>
      </w:pPr>
      <w:r>
        <w:t>If a connector denies access, record the permission boundary and continue with the read-only fallback; never broaden scope or expose credentials.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