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Customer-Centric Branding and Communication Tactics</w:t>
      </w:r>
    </w:p>
    <w:p>
      <w:pPr>
        <w:spacing w:before="80" w:after="280"/>
        <w:jc w:val="center"/>
      </w:pPr>
      <w:r>
        <w:rPr>
          <w:b w:val="0"/>
          <w:color w:val="111827"/>
          <w:sz w:val="24"/>
        </w:rPr>
        <w:t>TGS Ref No: TGS-2026061321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2.4</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20 July 2026</w:t>
            </w:r>
          </w:p>
        </w:tc>
        <w:tc>
          <w:tcPr>
            <w:tcW w:type="dxa" w:w="2160"/>
          </w:tcPr>
          <w:p>
            <w:r/>
            <w:r>
              <w:rPr>
                <w:sz w:val="19"/>
              </w:rPr>
              <w:t>First version.</w:t>
            </w:r>
          </w:p>
        </w:tc>
        <w:tc>
          <w:tcPr>
            <w:tcW w:type="dxa" w:w="2160"/>
          </w:tcPr>
          <w:p>
            <w:r/>
            <w:r>
              <w:rPr>
                <w:sz w:val="19"/>
              </w:rPr>
              <w:t>Tertiary Infotech Academy Pte Ltd</w:t>
            </w:r>
          </w:p>
        </w:tc>
      </w:tr>
      <w:tr>
        <w:tc>
          <w:tcPr>
            <w:tcW w:type="dxa" w:w="2160"/>
          </w:tcPr>
          <w:p>
            <w:r/>
            <w:r>
              <w:rPr>
                <w:sz w:val="19"/>
              </w:rPr>
              <w:t>2.0</w:t>
            </w:r>
          </w:p>
        </w:tc>
        <w:tc>
          <w:tcPr>
            <w:tcW w:type="dxa" w:w="2160"/>
          </w:tcPr>
          <w:p>
            <w:r/>
            <w:r>
              <w:rPr>
                <w:sz w:val="19"/>
              </w:rPr>
              <w:t>4 August 2026</w:t>
            </w:r>
          </w:p>
        </w:tc>
        <w:tc>
          <w:tcPr>
            <w:tcW w:type="dxa" w:w="2160"/>
          </w:tcPr>
          <w:p>
            <w:r/>
            <w:r>
              <w:rPr>
                <w:sz w:val="19"/>
              </w:rPr>
              <w:t>Converted in-class activities to case-study/role-play format (scenario, roles, discussion prompts, reflection points); no schedule/timing changes.</w:t>
            </w:r>
          </w:p>
        </w:tc>
        <w:tc>
          <w:tcPr>
            <w:tcW w:type="dxa" w:w="2160"/>
          </w:tcPr>
          <w:p>
            <w:r/>
            <w:r>
              <w:rPr>
                <w:sz w:val="19"/>
              </w:rPr>
              <w:t>Tertiary Infotech Academy Pte Ltd</w:t>
            </w:r>
          </w:p>
        </w:tc>
      </w:tr>
      <w:tr>
        <w:tc>
          <w:tcPr>
            <w:tcW w:type="dxa" w:w="2160"/>
          </w:tcPr>
          <w:p>
            <w:r/>
            <w:r>
              <w:rPr>
                <w:sz w:val="19"/>
              </w:rPr>
              <w:t>2.1</w:t>
            </w:r>
          </w:p>
        </w:tc>
        <w:tc>
          <w:tcPr>
            <w:tcW w:type="dxa" w:w="2160"/>
          </w:tcPr>
          <w:p>
            <w:r/>
            <w:r>
              <w:rPr>
                <w:sz w:val="19"/>
              </w:rPr>
              <w:t>5 August 2026</w:t>
            </w:r>
          </w:p>
        </w:tc>
        <w:tc>
          <w:tcPr>
            <w:tcW w:type="dxa" w:w="2160"/>
          </w:tcPr>
          <w:p>
            <w:r/>
            <w:r>
              <w:rPr>
                <w:sz w:val="19"/>
              </w:rPr>
              <w:t>Refreshed slide-number citations throughout to align with courseware deck v4 (245 slides, expanded diagram library); no content or schedule change.</w:t>
            </w:r>
          </w:p>
        </w:tc>
        <w:tc>
          <w:tcPr>
            <w:tcW w:type="dxa" w:w="2160"/>
          </w:tcPr>
          <w:p>
            <w:r/>
            <w:r>
              <w:rPr>
                <w:sz w:val="19"/>
              </w:rPr>
              <w:t>Tertiary Infotech Academy Pte Ltd</w:t>
            </w:r>
          </w:p>
        </w:tc>
      </w:tr>
      <w:tr>
        <w:tc>
          <w:tcPr>
            <w:tcW w:type="dxa" w:w="2160"/>
          </w:tcPr>
          <w:p>
            <w:r/>
            <w:r>
              <w:rPr>
                <w:sz w:val="19"/>
              </w:rPr>
              <w:t>2.2</w:t>
            </w:r>
          </w:p>
        </w:tc>
        <w:tc>
          <w:tcPr>
            <w:tcW w:type="dxa" w:w="2160"/>
          </w:tcPr>
          <w:p>
            <w:r/>
            <w:r>
              <w:rPr>
                <w:sz w:val="19"/>
              </w:rPr>
              <w:t>6 August 2026</w:t>
            </w:r>
          </w:p>
        </w:tc>
        <w:tc>
          <w:tcPr>
            <w:tcW w:type="dxa" w:w="2160"/>
          </w:tcPr>
          <w:p>
            <w:r/>
            <w:r>
              <w:rPr>
                <w:sz w:val="19"/>
              </w:rPr>
              <w:t>Courseware deck regenerated as v5: AI-rendered infographic visuals (AntV engine) replace native diagrams across most What-is/How-it-works/Compare theory slots in all 4 Learning Units for a more visual, less text-heavy deck. Slide count and page numbers unchanged (245 slides); no schedule or LP content change.</w:t>
            </w:r>
          </w:p>
        </w:tc>
        <w:tc>
          <w:tcPr>
            <w:tcW w:type="dxa" w:w="2160"/>
          </w:tcPr>
          <w:p>
            <w:r/>
            <w:r>
              <w:rPr>
                <w:sz w:val="19"/>
              </w:rPr>
              <w:t>Tertiary Infotech Academy Pte Ltd</w:t>
            </w:r>
          </w:p>
        </w:tc>
      </w:tr>
      <w:tr>
        <w:tc>
          <w:tcPr>
            <w:tcW w:type="dxa" w:w="2160"/>
          </w:tcPr>
          <w:p>
            <w:r/>
            <w:r>
              <w:rPr>
                <w:sz w:val="19"/>
              </w:rPr>
              <w:t>2.3</w:t>
            </w:r>
          </w:p>
        </w:tc>
        <w:tc>
          <w:tcPr>
            <w:tcW w:type="dxa" w:w="2160"/>
          </w:tcPr>
          <w:p>
            <w:r/>
            <w:r>
              <w:rPr>
                <w:sz w:val="19"/>
              </w:rPr>
              <w:t>7 August 2026</w:t>
            </w:r>
          </w:p>
        </w:tc>
        <w:tc>
          <w:tcPr>
            <w:tcW w:type="dxa" w:w="2160"/>
          </w:tcPr>
          <w:p>
            <w:r/>
            <w:r>
              <w:rPr>
                <w:sz w:val="19"/>
              </w:rPr>
              <w:t>Courseware deck regenerated as v6: trimmed the per-activity Reference Table, Why-It-Matters statement and Key-Takeaways recap slides, and the per-topic activity-preview slide, to bring total slide count down from 245 to roughly 190 for better 2-day pacing. Core theory (What is / How it Works / Compare / Supporting Data), all case-study examples, and all activity slides (scenario, roles, discussion, reflection) are unchanged. Page-number citations below refreshed to match; no change to schedule or activity content.</w:t>
            </w:r>
          </w:p>
        </w:tc>
        <w:tc>
          <w:tcPr>
            <w:tcW w:type="dxa" w:w="2160"/>
          </w:tcPr>
          <w:p>
            <w:r/>
            <w:r>
              <w:rPr>
                <w:sz w:val="19"/>
              </w:rPr>
              <w:t>Tertiary Infotech Academy Pte Ltd</w:t>
            </w:r>
          </w:p>
        </w:tc>
      </w:tr>
      <w:tr>
        <w:tc>
          <w:tcPr>
            <w:tcW w:type="dxa" w:w="2160"/>
          </w:tcPr>
          <w:p>
            <w:r/>
            <w:r>
              <w:rPr>
                <w:sz w:val="19"/>
              </w:rPr>
              <w:t>2.4</w:t>
            </w:r>
          </w:p>
        </w:tc>
        <w:tc>
          <w:tcPr>
            <w:tcW w:type="dxa" w:w="2160"/>
          </w:tcPr>
          <w:p>
            <w:r/>
            <w:r>
              <w:rPr>
                <w:sz w:val="19"/>
              </w:rPr>
              <w:t>11 August 2026</w:t>
            </w:r>
          </w:p>
        </w:tc>
        <w:tc>
          <w:tcPr>
            <w:tcW w:type="dxa" w:w="2160"/>
          </w:tcPr>
          <w:p>
            <w:r/>
            <w:r>
              <w:rPr>
                <w:sz w:val="19"/>
              </w:rPr>
              <w:t>Courseware deck regenerated as v7: replaced the five dark-navy full-bleed 'impact' slides (the four LU closing-thought quotes and the course wrap-up playbook) and all 17 K/A sub-topic divider slides with the deck's standard white-background house design, for full visual consistency across the deck. Slide count, content and schedule unchanged.</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Customer-Centric Branding and Communication Tactics</w:t>
            </w:r>
          </w:p>
        </w:tc>
      </w:tr>
      <w:tr>
        <w:tc>
          <w:tcPr>
            <w:tcW w:type="dxa" w:w="4320"/>
            <w:shd w:val="clear" w:color="auto" w:fill="E8F0FE"/>
          </w:tcPr>
          <w:p>
            <w:r/>
            <w:r>
              <w:rPr>
                <w:b/>
                <w:sz w:val="20"/>
              </w:rPr>
              <w:t>WSQ Course Reference</w:t>
            </w:r>
          </w:p>
        </w:tc>
        <w:tc>
          <w:tcPr>
            <w:tcW w:type="dxa" w:w="4320"/>
          </w:tcPr>
          <w:p>
            <w:r/>
            <w:r>
              <w:rPr>
                <w:sz w:val="20"/>
              </w:rPr>
              <w:t>TGS-2026061321</w:t>
            </w:r>
          </w:p>
        </w:tc>
      </w:tr>
      <w:tr>
        <w:tc>
          <w:tcPr>
            <w:tcW w:type="dxa" w:w="4320"/>
            <w:shd w:val="clear" w:color="auto" w:fill="E8F0FE"/>
          </w:tcPr>
          <w:p>
            <w:r/>
            <w:r>
              <w:rPr>
                <w:b/>
                <w:sz w:val="20"/>
              </w:rPr>
              <w:t>TSC Reference</w:t>
            </w:r>
          </w:p>
        </w:tc>
        <w:tc>
          <w:tcPr>
            <w:tcW w:type="dxa" w:w="4320"/>
          </w:tcPr>
          <w:p>
            <w:r/>
            <w:r>
              <w:rPr>
                <w:sz w:val="20"/>
              </w:rPr>
              <w:t>Brand Management (ICT-SNM-3002-1.1) · Level 3</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2 days · 9:30am–6:30pm (Day 1) / 9:30am–6:00pm (Day 2)</w:t>
            </w:r>
          </w:p>
        </w:tc>
      </w:tr>
      <w:tr>
        <w:tc>
          <w:tcPr>
            <w:tcW w:type="dxa" w:w="4320"/>
            <w:shd w:val="clear" w:color="auto" w:fill="E8F0FE"/>
          </w:tcPr>
          <w:p>
            <w:r/>
            <w:r>
              <w:rPr>
                <w:b/>
                <w:sz w:val="20"/>
              </w:rPr>
              <w:t>Daily Timing</w:t>
            </w:r>
          </w:p>
        </w:tc>
        <w:tc>
          <w:tcPr>
            <w:tcW w:type="dxa" w:w="4320"/>
          </w:tcPr>
          <w:p>
            <w:r/>
            <w:r>
              <w:rPr>
                <w:sz w:val="20"/>
              </w:rPr>
              <w:t>1-hour lunch on Day 1, 45-minute lunch on Day 2; tea breaks within training time</w:t>
            </w:r>
          </w:p>
        </w:tc>
      </w:tr>
      <w:tr>
        <w:tc>
          <w:tcPr>
            <w:tcW w:type="dxa" w:w="4320"/>
            <w:shd w:val="clear" w:color="auto" w:fill="E8F0FE"/>
          </w:tcPr>
          <w:p>
            <w:r/>
            <w:r>
              <w:rPr>
                <w:b/>
                <w:sz w:val="20"/>
              </w:rPr>
              <w:t>Mode</w:t>
            </w:r>
          </w:p>
        </w:tc>
        <w:tc>
          <w:tcPr>
            <w:tcW w:type="dxa" w:w="4320"/>
          </w:tcPr>
          <w:p>
            <w:r/>
            <w:r>
              <w:rPr>
                <w:sz w:val="20"/>
              </w:rPr>
              <w:t>Instructor-led, with case-study and workshop activities per Learning Unit</w:t>
            </w:r>
          </w:p>
        </w:tc>
      </w:tr>
      <w:tr>
        <w:tc>
          <w:tcPr>
            <w:tcW w:type="dxa" w:w="4320"/>
            <w:shd w:val="clear" w:color="auto" w:fill="E8F0FE"/>
          </w:tcPr>
          <w:p>
            <w:r/>
            <w:r>
              <w:rPr>
                <w:b/>
                <w:sz w:val="20"/>
              </w:rPr>
              <w:t>Instructional Methods</w:t>
            </w:r>
          </w:p>
        </w:tc>
        <w:tc>
          <w:tcPr>
            <w:tcW w:type="dxa" w:w="4320"/>
          </w:tcPr>
          <w:p>
            <w:r/>
            <w:r>
              <w:rPr>
                <w:sz w:val="20"/>
              </w:rPr>
              <w:t>Interactive presentation, discussions, case studies, peer teaching / peer practice</w:t>
            </w:r>
          </w:p>
        </w:tc>
      </w:tr>
      <w:tr>
        <w:tc>
          <w:tcPr>
            <w:tcW w:type="dxa" w:w="4320"/>
            <w:shd w:val="clear" w:color="auto" w:fill="E8F0FE"/>
          </w:tcPr>
          <w:p>
            <w:r/>
            <w:r>
              <w:rPr>
                <w:b/>
                <w:sz w:val="20"/>
              </w:rPr>
              <w:t>Trainer</w:t>
            </w:r>
          </w:p>
        </w:tc>
        <w:tc>
          <w:tcPr>
            <w:tcW w:type="dxa" w:w="4320"/>
          </w:tcPr>
          <w:p>
            <w:r/>
            <w:r>
              <w:rPr>
                <w:sz w:val="20"/>
              </w:rPr>
              <w:t>[Trainer Name]</w:t>
            </w:r>
          </w:p>
        </w:tc>
      </w:tr>
    </w:tbl>
    <w:p>
      <w:pPr>
        <w:pStyle w:val="Heading1"/>
      </w:pPr>
      <w:r>
        <w:t>Learning Outcomes</w:t>
      </w:r>
    </w:p>
    <w:p>
      <w:r>
        <w:t>On completion of this course, learners will be able to:</w:t>
      </w:r>
    </w:p>
    <w:p>
      <w:pPr>
        <w:pStyle w:val="ListBullet"/>
      </w:pPr>
      <w:r>
        <w:rPr>
          <w:sz w:val="21"/>
        </w:rPr>
        <w:t>LO1: Identify the internal and external stakeholders and audiences who influence the brand, and create branding designs and reputation assessments that reflect the organisation's product or service attributes and benefits.</w:t>
      </w:r>
    </w:p>
    <w:p>
      <w:pPr>
        <w:pStyle w:val="ListBullet"/>
      </w:pPr>
      <w:r>
        <w:rPr>
          <w:sz w:val="21"/>
        </w:rPr>
        <w:t>LO2: Capture and analyse customer insights through strategic active-listening approaches — understanding customer perceptions of the brand and documenting the reception and outcomes of branding campaigns.</w:t>
      </w:r>
    </w:p>
    <w:p>
      <w:pPr>
        <w:pStyle w:val="ListBullet"/>
      </w:pPr>
      <w:r>
        <w:rPr>
          <w:sz w:val="21"/>
        </w:rPr>
        <w:t>LO3: Apply branding fundamentals within the marketing mix — executing branding campaigns, events and public-relations activities that increase brand awareness in alignment with brand positioning strategy, operational plans and budget.</w:t>
      </w:r>
    </w:p>
    <w:p>
      <w:pPr>
        <w:pStyle w:val="ListBullet"/>
      </w:pPr>
      <w:r>
        <w:rPr>
          <w:sz w:val="21"/>
        </w:rPr>
        <w:t>LO4: Evaluate brand and public-relations effectiveness using reputation indicators and KPIs across platforms, and recommend improvements to strengthen public-relations campaign performance.</w:t>
      </w:r>
    </w:p>
    <w:p>
      <w:pPr>
        <w:pStyle w:val="Heading1"/>
      </w:pPr>
      <w:r>
        <w:t>Assessment</w:t>
      </w:r>
    </w:p>
    <w:p>
      <w:pPr>
        <w:pStyle w:val="ListBullet"/>
      </w:pPr>
      <w:r>
        <w:rPr>
          <w:sz w:val="21"/>
        </w:rPr>
        <w:t>Written Assessment (WA) — Short-Answer Questions (SAQ), 1 hour, open book.</w:t>
      </w:r>
    </w:p>
    <w:p>
      <w:pPr>
        <w:pStyle w:val="ListBullet"/>
      </w:pPr>
      <w:r>
        <w:rPr>
          <w:sz w:val="21"/>
        </w:rPr>
        <w:t>Case Study (CS) — one continuous branding scenario with open-ended tasks, 1 hour, open book.</w:t>
      </w:r>
    </w:p>
    <w:p>
      <w:pPr>
        <w:pStyle w:val="ListBullet"/>
      </w:pPr>
      <w:r>
        <w:rPr>
          <w:sz w:val="21"/>
        </w:rPr>
        <w:t>Format: Open Book — course slides, Learner Guide and approved materials only.</w:t>
      </w:r>
    </w:p>
    <w:p>
      <w:pPr>
        <w:pStyle w:val="ListBullet"/>
      </w:pPr>
      <w:r>
        <w:rPr>
          <w:sz w:val="21"/>
        </w:rPr>
        <w:t>The assessment block runs on Day 2 from 4:00pm to 6:00pm.</w:t>
      </w:r>
    </w:p>
    <w:p>
      <w:pPr>
        <w:pStyle w:val="ListBullet"/>
      </w:pPr>
      <w:r>
        <w:rPr>
          <w:sz w:val="21"/>
        </w:rPr>
        <w:t>A minimum of 75% attendance (per SSG Digital Attendance record) is required to be eligible for assessment and funding. Learners must be assessed as Competent and complete the TRAQOM survey.</w:t>
      </w:r>
    </w:p>
    <w:p>
      <w:pPr>
        <w:pStyle w:val="Heading1"/>
      </w:pPr>
      <w:r>
        <w:t>Daily Schedule</w:t>
      </w:r>
    </w:p>
    <w:p>
      <w:pPr>
        <w:pStyle w:val="Heading2"/>
      </w:pPr>
      <w:r>
        <w:t>Day 1 — Stakeholders, Customer Influence &amp; Branding in Marketing (starts)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6048"/>
            <w:shd w:val="clear" w:color="auto" w:fill="1F6FEB"/>
          </w:tcPr>
          <w:p>
            <w:r/>
            <w:r>
              <w:rPr>
                <w:rFonts w:ascii="Arial" w:hAnsi="Arial"/>
                <w:b/>
                <w:color w:val="FFFFFF"/>
                <w:sz w:val="20"/>
              </w:rPr>
              <w:t>Topic / Activity</w:t>
            </w:r>
          </w:p>
        </w:tc>
        <w:tc>
          <w:tcPr>
            <w:tcW w:type="dxa" w:w="1584"/>
            <w:shd w:val="clear" w:color="auto" w:fill="1F6FEB"/>
          </w:tcPr>
          <w:p>
            <w:r/>
            <w:r>
              <w:rPr>
                <w:rFonts w:ascii="Arial" w:hAnsi="Arial"/>
                <w:b/>
                <w:color w:val="FFFFFF"/>
                <w:sz w:val="20"/>
              </w:rPr>
              <w:t>Slides</w:t>
            </w:r>
          </w:p>
        </w:tc>
      </w:tr>
      <w:tr>
        <w:tc>
          <w:tcPr>
            <w:tcW w:type="dxa" w:w="1440"/>
            <w:shd w:val="clear" w:color="auto" w:fill="F3F5F8"/>
          </w:tcPr>
          <w:p>
            <w:r/>
            <w:r>
              <w:rPr>
                <w:rFonts w:ascii="Arial" w:hAnsi="Arial"/>
                <w:b w:val="0"/>
                <w:sz w:val="19"/>
              </w:rPr>
              <w:t>9:30–9:50</w:t>
            </w:r>
          </w:p>
        </w:tc>
        <w:tc>
          <w:tcPr>
            <w:tcW w:type="dxa" w:w="1152"/>
            <w:shd w:val="clear" w:color="auto" w:fill="F3F5F8"/>
          </w:tcPr>
          <w:p>
            <w:r/>
            <w:r>
              <w:rPr>
                <w:rFonts w:ascii="Arial" w:hAnsi="Arial"/>
                <w:b w:val="0"/>
                <w:sz w:val="19"/>
              </w:rPr>
              <w:t>20 min</w:t>
            </w:r>
          </w:p>
        </w:tc>
        <w:tc>
          <w:tcPr>
            <w:tcW w:type="dxa" w:w="6048"/>
            <w:shd w:val="clear" w:color="auto" w:fill="F3F5F8"/>
          </w:tcPr>
          <w:p>
            <w:r/>
            <w:r>
              <w:rPr>
                <w:rFonts w:ascii="Arial" w:hAnsi="Arial"/>
                <w:b w:val="0"/>
                <w:sz w:val="19"/>
              </w:rPr>
              <w:t>Welcome, course introduction, ground rules, Skills Framework overview and mandatory digital attendance (AM)</w:t>
            </w:r>
          </w:p>
        </w:tc>
        <w:tc>
          <w:tcPr>
            <w:tcW w:type="dxa" w:w="1584"/>
            <w:shd w:val="clear" w:color="auto" w:fill="F3F5F8"/>
          </w:tcPr>
          <w:p>
            <w:pPr>
              <w:jc w:val="center"/>
            </w:pPr>
            <w:r/>
            <w:r>
              <w:rPr>
                <w:rFonts w:ascii="Arial" w:hAnsi="Arial"/>
                <w:b w:val="0"/>
                <w:sz w:val="19"/>
              </w:rPr>
              <w:t>—</w:t>
            </w:r>
          </w:p>
        </w:tc>
      </w:tr>
      <w:tr>
        <w:tc>
          <w:tcPr>
            <w:tcW w:type="dxa" w:w="1440"/>
            <w:shd w:val="clear" w:color="auto" w:fill="E8F0FE"/>
          </w:tcPr>
          <w:p>
            <w:r/>
            <w:r>
              <w:rPr>
                <w:rFonts w:ascii="Arial" w:hAnsi="Arial"/>
                <w:b/>
                <w:sz w:val="19"/>
              </w:rPr>
              <w:t>9:50–11:30</w:t>
            </w:r>
          </w:p>
        </w:tc>
        <w:tc>
          <w:tcPr>
            <w:tcW w:type="dxa" w:w="1152"/>
            <w:shd w:val="clear" w:color="auto" w:fill="E8F0FE"/>
          </w:tcPr>
          <w:p>
            <w:r/>
            <w:r>
              <w:rPr>
                <w:rFonts w:ascii="Arial" w:hAnsi="Arial"/>
                <w:b w:val="0"/>
                <w:sz w:val="19"/>
              </w:rPr>
              <w:t>100 min</w:t>
            </w:r>
          </w:p>
        </w:tc>
        <w:tc>
          <w:tcPr>
            <w:tcW w:type="dxa" w:w="6048"/>
            <w:shd w:val="clear" w:color="auto" w:fill="E8F0FE"/>
          </w:tcPr>
          <w:p>
            <w:r/>
            <w:r>
              <w:rPr>
                <w:rFonts w:ascii="Arial" w:hAnsi="Arial"/>
                <w:b/>
                <w:sz w:val="19"/>
              </w:rPr>
              <w:t>LU1 — Stakeholders and Organisation: concepts, then Stakeholder Influence Mapping &amp; Audience Mapping Workshop</w:t>
            </w:r>
          </w:p>
        </w:tc>
        <w:tc>
          <w:tcPr>
            <w:tcW w:type="dxa" w:w="1584"/>
            <w:shd w:val="clear" w:color="auto" w:fill="E8F0FE"/>
          </w:tcPr>
          <w:p>
            <w:pPr>
              <w:jc w:val="center"/>
            </w:pPr>
            <w:r/>
            <w:r>
              <w:rPr>
                <w:rFonts w:ascii="Arial" w:hAnsi="Arial"/>
                <w:b w:val="0"/>
                <w:sz w:val="19"/>
              </w:rPr>
              <w:t>Slides 16–33</w:t>
            </w:r>
          </w:p>
        </w:tc>
      </w:tr>
      <w:tr>
        <w:tc>
          <w:tcPr>
            <w:tcW w:type="dxa" w:w="1440"/>
            <w:shd w:val="clear" w:color="auto" w:fill="FFF4E5"/>
          </w:tcPr>
          <w:p>
            <w:r/>
            <w:r>
              <w:rPr>
                <w:rFonts w:ascii="Arial" w:hAnsi="Arial"/>
                <w:b w:val="0"/>
                <w:sz w:val="19"/>
              </w:rPr>
              <w:t>11:30–11:40</w:t>
            </w:r>
          </w:p>
        </w:tc>
        <w:tc>
          <w:tcPr>
            <w:tcW w:type="dxa" w:w="1152"/>
            <w:shd w:val="clear" w:color="auto" w:fill="FFF4E5"/>
          </w:tcPr>
          <w:p>
            <w:r/>
            <w:r>
              <w:rPr>
                <w:rFonts w:ascii="Arial" w:hAnsi="Arial"/>
                <w:b w:val="0"/>
                <w:sz w:val="19"/>
              </w:rPr>
              <w:t>10 min</w:t>
            </w:r>
          </w:p>
        </w:tc>
        <w:tc>
          <w:tcPr>
            <w:tcW w:type="dxa" w:w="6048"/>
            <w:shd w:val="clear" w:color="auto" w:fill="FFF4E5"/>
          </w:tcPr>
          <w:p>
            <w:r/>
            <w:r>
              <w:rPr>
                <w:rFonts w:ascii="Arial" w:hAnsi="Arial"/>
                <w:b w:val="0"/>
                <w:sz w:val="19"/>
              </w:rPr>
              <w:t>Tea break</w:t>
            </w:r>
          </w:p>
        </w:tc>
        <w:tc>
          <w:tcPr>
            <w:tcW w:type="dxa" w:w="1584"/>
            <w:shd w:val="clear" w:color="auto" w:fill="FFF4E5"/>
          </w:tcPr>
          <w:p>
            <w:pPr>
              <w:jc w:val="center"/>
            </w:pPr>
            <w:r/>
            <w:r>
              <w:rPr>
                <w:rFonts w:ascii="Arial" w:hAnsi="Arial"/>
                <w:b w:val="0"/>
                <w:sz w:val="19"/>
              </w:rPr>
              <w:t>—</w:t>
            </w:r>
          </w:p>
        </w:tc>
      </w:tr>
      <w:tr>
        <w:tc>
          <w:tcPr>
            <w:tcW w:type="dxa" w:w="1440"/>
          </w:tcPr>
          <w:p>
            <w:r/>
            <w:r>
              <w:rPr>
                <w:rFonts w:ascii="Arial" w:hAnsi="Arial"/>
                <w:b w:val="0"/>
                <w:sz w:val="19"/>
              </w:rPr>
              <w:t>11:40–12:30</w:t>
            </w:r>
          </w:p>
        </w:tc>
        <w:tc>
          <w:tcPr>
            <w:tcW w:type="dxa" w:w="1152"/>
          </w:tcPr>
          <w:p>
            <w:r/>
            <w:r>
              <w:rPr>
                <w:rFonts w:ascii="Arial" w:hAnsi="Arial"/>
                <w:b w:val="0"/>
                <w:sz w:val="19"/>
              </w:rPr>
              <w:t>50 min</w:t>
            </w:r>
          </w:p>
        </w:tc>
        <w:tc>
          <w:tcPr>
            <w:tcW w:type="dxa" w:w="6048"/>
          </w:tcPr>
          <w:p>
            <w:r/>
            <w:r>
              <w:rPr>
                <w:rFonts w:ascii="Arial" w:hAnsi="Arial"/>
                <w:b w:val="0"/>
                <w:sz w:val="19"/>
              </w:rPr>
              <w:t>Brand Attribute Mapping &amp; Digital Reputation Audit Exercise; LU1 recap</w:t>
            </w:r>
          </w:p>
        </w:tc>
        <w:tc>
          <w:tcPr>
            <w:tcW w:type="dxa" w:w="1584"/>
          </w:tcPr>
          <w:p>
            <w:pPr>
              <w:jc w:val="center"/>
            </w:pPr>
            <w:r/>
            <w:r>
              <w:rPr>
                <w:rFonts w:ascii="Arial" w:hAnsi="Arial"/>
                <w:b w:val="0"/>
                <w:sz w:val="19"/>
              </w:rPr>
              <w:t>Slides 42–51</w:t>
            </w:r>
          </w:p>
        </w:tc>
      </w:tr>
      <w:tr>
        <w:tc>
          <w:tcPr>
            <w:tcW w:type="dxa" w:w="1440"/>
            <w:shd w:val="clear" w:color="auto" w:fill="FDE9D9"/>
          </w:tcPr>
          <w:p>
            <w:r/>
            <w:r>
              <w:rPr>
                <w:rFonts w:ascii="Arial" w:hAnsi="Arial"/>
                <w:b w:val="0"/>
                <w:sz w:val="19"/>
              </w:rPr>
              <w:t>12:30–1:30</w:t>
            </w:r>
          </w:p>
        </w:tc>
        <w:tc>
          <w:tcPr>
            <w:tcW w:type="dxa" w:w="1152"/>
            <w:shd w:val="clear" w:color="auto" w:fill="FDE9D9"/>
          </w:tcPr>
          <w:p>
            <w:r/>
            <w:r>
              <w:rPr>
                <w:rFonts w:ascii="Arial" w:hAnsi="Arial"/>
                <w:b w:val="0"/>
                <w:sz w:val="19"/>
              </w:rPr>
              <w:t>60 min</w:t>
            </w:r>
          </w:p>
        </w:tc>
        <w:tc>
          <w:tcPr>
            <w:tcW w:type="dxa" w:w="6048"/>
            <w:shd w:val="clear" w:color="auto" w:fill="FDE9D9"/>
          </w:tcPr>
          <w:p>
            <w:r/>
            <w:r>
              <w:rPr>
                <w:rFonts w:ascii="Arial" w:hAnsi="Arial"/>
                <w:b w:val="0"/>
                <w:sz w:val="19"/>
              </w:rPr>
              <w:t>Lunch break</w:t>
            </w:r>
          </w:p>
        </w:tc>
        <w:tc>
          <w:tcPr>
            <w:tcW w:type="dxa" w:w="1584"/>
            <w:shd w:val="clear" w:color="auto" w:fill="FDE9D9"/>
          </w:tcPr>
          <w:p>
            <w:pPr>
              <w:jc w:val="center"/>
            </w:pPr>
            <w:r/>
            <w:r>
              <w:rPr>
                <w:rFonts w:ascii="Arial" w:hAnsi="Arial"/>
                <w:b w:val="0"/>
                <w:sz w:val="19"/>
              </w:rPr>
              <w:t>—</w:t>
            </w:r>
          </w:p>
        </w:tc>
      </w:tr>
      <w:tr>
        <w:tc>
          <w:tcPr>
            <w:tcW w:type="dxa" w:w="1440"/>
            <w:shd w:val="clear" w:color="auto" w:fill="E8F0FE"/>
          </w:tcPr>
          <w:p>
            <w:r/>
            <w:r>
              <w:rPr>
                <w:rFonts w:ascii="Arial" w:hAnsi="Arial"/>
                <w:b/>
                <w:sz w:val="19"/>
              </w:rPr>
              <w:t>1:30–3:10</w:t>
            </w:r>
          </w:p>
        </w:tc>
        <w:tc>
          <w:tcPr>
            <w:tcW w:type="dxa" w:w="1152"/>
            <w:shd w:val="clear" w:color="auto" w:fill="E8F0FE"/>
          </w:tcPr>
          <w:p>
            <w:r/>
            <w:r>
              <w:rPr>
                <w:rFonts w:ascii="Arial" w:hAnsi="Arial"/>
                <w:b w:val="0"/>
                <w:sz w:val="19"/>
              </w:rPr>
              <w:t>100 min</w:t>
            </w:r>
          </w:p>
        </w:tc>
        <w:tc>
          <w:tcPr>
            <w:tcW w:type="dxa" w:w="6048"/>
            <w:shd w:val="clear" w:color="auto" w:fill="E8F0FE"/>
          </w:tcPr>
          <w:p>
            <w:r/>
            <w:r>
              <w:rPr>
                <w:rFonts w:ascii="Arial" w:hAnsi="Arial"/>
                <w:b/>
                <w:sz w:val="19"/>
              </w:rPr>
              <w:t>LU2 — Customer Influence: concepts, then Brand Perception Audit &amp; Brand Advocacy Assessment</w:t>
            </w:r>
          </w:p>
        </w:tc>
        <w:tc>
          <w:tcPr>
            <w:tcW w:type="dxa" w:w="1584"/>
            <w:shd w:val="clear" w:color="auto" w:fill="E8F0FE"/>
          </w:tcPr>
          <w:p>
            <w:pPr>
              <w:jc w:val="center"/>
            </w:pPr>
            <w:r/>
            <w:r>
              <w:rPr>
                <w:rFonts w:ascii="Arial" w:hAnsi="Arial"/>
                <w:b w:val="0"/>
                <w:sz w:val="19"/>
              </w:rPr>
              <w:t>Slides 56–72</w:t>
            </w:r>
          </w:p>
        </w:tc>
      </w:tr>
      <w:tr>
        <w:tc>
          <w:tcPr>
            <w:tcW w:type="dxa" w:w="1440"/>
            <w:shd w:val="clear" w:color="auto" w:fill="FFF4E5"/>
          </w:tcPr>
          <w:p>
            <w:r/>
            <w:r>
              <w:rPr>
                <w:rFonts w:ascii="Arial" w:hAnsi="Arial"/>
                <w:b w:val="0"/>
                <w:sz w:val="19"/>
              </w:rPr>
              <w:t>3:10–3:20</w:t>
            </w:r>
          </w:p>
        </w:tc>
        <w:tc>
          <w:tcPr>
            <w:tcW w:type="dxa" w:w="1152"/>
            <w:shd w:val="clear" w:color="auto" w:fill="FFF4E5"/>
          </w:tcPr>
          <w:p>
            <w:r/>
            <w:r>
              <w:rPr>
                <w:rFonts w:ascii="Arial" w:hAnsi="Arial"/>
                <w:b w:val="0"/>
                <w:sz w:val="19"/>
              </w:rPr>
              <w:t>10 min</w:t>
            </w:r>
          </w:p>
        </w:tc>
        <w:tc>
          <w:tcPr>
            <w:tcW w:type="dxa" w:w="6048"/>
            <w:shd w:val="clear" w:color="auto" w:fill="FFF4E5"/>
          </w:tcPr>
          <w:p>
            <w:r/>
            <w:r>
              <w:rPr>
                <w:rFonts w:ascii="Arial" w:hAnsi="Arial"/>
                <w:b w:val="0"/>
                <w:sz w:val="19"/>
              </w:rPr>
              <w:t>Tea break</w:t>
            </w:r>
          </w:p>
        </w:tc>
        <w:tc>
          <w:tcPr>
            <w:tcW w:type="dxa" w:w="1584"/>
            <w:shd w:val="clear" w:color="auto" w:fill="FFF4E5"/>
          </w:tcPr>
          <w:p>
            <w:pPr>
              <w:jc w:val="center"/>
            </w:pPr>
            <w:r/>
            <w:r>
              <w:rPr>
                <w:rFonts w:ascii="Arial" w:hAnsi="Arial"/>
                <w:b w:val="0"/>
                <w:sz w:val="19"/>
              </w:rPr>
              <w:t>—</w:t>
            </w:r>
          </w:p>
        </w:tc>
      </w:tr>
      <w:tr>
        <w:tc>
          <w:tcPr>
            <w:tcW w:type="dxa" w:w="1440"/>
          </w:tcPr>
          <w:p>
            <w:r/>
            <w:r>
              <w:rPr>
                <w:rFonts w:ascii="Arial" w:hAnsi="Arial"/>
                <w:b w:val="0"/>
                <w:sz w:val="19"/>
              </w:rPr>
              <w:t>3:20–4:40</w:t>
            </w:r>
          </w:p>
        </w:tc>
        <w:tc>
          <w:tcPr>
            <w:tcW w:type="dxa" w:w="1152"/>
          </w:tcPr>
          <w:p>
            <w:r/>
            <w:r>
              <w:rPr>
                <w:rFonts w:ascii="Arial" w:hAnsi="Arial"/>
                <w:b w:val="0"/>
                <w:sz w:val="19"/>
              </w:rPr>
              <w:t>80 min</w:t>
            </w:r>
          </w:p>
        </w:tc>
        <w:tc>
          <w:tcPr>
            <w:tcW w:type="dxa" w:w="6048"/>
          </w:tcPr>
          <w:p>
            <w:r/>
            <w:r>
              <w:rPr>
                <w:rFonts w:ascii="Arial" w:hAnsi="Arial"/>
                <w:b w:val="0"/>
                <w:sz w:val="19"/>
              </w:rPr>
              <w:t>Campaign Documentation Audit &amp; Customer Perspective Analysis; LU2 recap</w:t>
            </w:r>
          </w:p>
        </w:tc>
        <w:tc>
          <w:tcPr>
            <w:tcW w:type="dxa" w:w="1584"/>
          </w:tcPr>
          <w:p>
            <w:pPr>
              <w:jc w:val="center"/>
            </w:pPr>
            <w:r/>
            <w:r>
              <w:rPr>
                <w:rFonts w:ascii="Arial" w:hAnsi="Arial"/>
                <w:b w:val="0"/>
                <w:sz w:val="19"/>
              </w:rPr>
              <w:t>Slides 81–90</w:t>
            </w:r>
          </w:p>
        </w:tc>
      </w:tr>
      <w:tr>
        <w:tc>
          <w:tcPr>
            <w:tcW w:type="dxa" w:w="1440"/>
            <w:shd w:val="clear" w:color="auto" w:fill="E8F0FE"/>
          </w:tcPr>
          <w:p>
            <w:r/>
            <w:r>
              <w:rPr>
                <w:rFonts w:ascii="Arial" w:hAnsi="Arial"/>
                <w:b/>
                <w:sz w:val="19"/>
              </w:rPr>
              <w:t>4:40–6:20</w:t>
            </w:r>
          </w:p>
        </w:tc>
        <w:tc>
          <w:tcPr>
            <w:tcW w:type="dxa" w:w="1152"/>
            <w:shd w:val="clear" w:color="auto" w:fill="E8F0FE"/>
          </w:tcPr>
          <w:p>
            <w:r/>
            <w:r>
              <w:rPr>
                <w:rFonts w:ascii="Arial" w:hAnsi="Arial"/>
                <w:b w:val="0"/>
                <w:sz w:val="19"/>
              </w:rPr>
              <w:t>100 min</w:t>
            </w:r>
          </w:p>
        </w:tc>
        <w:tc>
          <w:tcPr>
            <w:tcW w:type="dxa" w:w="6048"/>
            <w:shd w:val="clear" w:color="auto" w:fill="E8F0FE"/>
          </w:tcPr>
          <w:p>
            <w:r/>
            <w:r>
              <w:rPr>
                <w:rFonts w:ascii="Arial" w:hAnsi="Arial"/>
                <w:b/>
                <w:sz w:val="19"/>
              </w:rPr>
              <w:t>LU3 — Branding in Marketing (begins): concepts, then Brand Audit Workshop &amp; Brand-Marketing Audit Exercise</w:t>
            </w:r>
          </w:p>
        </w:tc>
        <w:tc>
          <w:tcPr>
            <w:tcW w:type="dxa" w:w="1584"/>
            <w:shd w:val="clear" w:color="auto" w:fill="E8F0FE"/>
          </w:tcPr>
          <w:p>
            <w:pPr>
              <w:jc w:val="center"/>
            </w:pPr>
            <w:r/>
            <w:r>
              <w:rPr>
                <w:rFonts w:ascii="Arial" w:hAnsi="Arial"/>
                <w:b w:val="0"/>
                <w:sz w:val="19"/>
              </w:rPr>
              <w:t>Slides 96–112</w:t>
            </w:r>
          </w:p>
        </w:tc>
      </w:tr>
      <w:tr>
        <w:tc>
          <w:tcPr>
            <w:tcW w:type="dxa" w:w="1440"/>
            <w:shd w:val="clear" w:color="auto" w:fill="F3F5F8"/>
          </w:tcPr>
          <w:p>
            <w:r/>
            <w:r>
              <w:rPr>
                <w:rFonts w:ascii="Arial" w:hAnsi="Arial"/>
                <w:b w:val="0"/>
                <w:sz w:val="19"/>
              </w:rPr>
              <w:t>6:20–6:30</w:t>
            </w:r>
          </w:p>
        </w:tc>
        <w:tc>
          <w:tcPr>
            <w:tcW w:type="dxa" w:w="1152"/>
            <w:shd w:val="clear" w:color="auto" w:fill="F3F5F8"/>
          </w:tcPr>
          <w:p>
            <w:r/>
            <w:r>
              <w:rPr>
                <w:rFonts w:ascii="Arial" w:hAnsi="Arial"/>
                <w:b w:val="0"/>
                <w:sz w:val="19"/>
              </w:rPr>
              <w:t>10 min</w:t>
            </w:r>
          </w:p>
        </w:tc>
        <w:tc>
          <w:tcPr>
            <w:tcW w:type="dxa" w:w="6048"/>
            <w:shd w:val="clear" w:color="auto" w:fill="F3F5F8"/>
          </w:tcPr>
          <w:p>
            <w:r/>
            <w:r>
              <w:rPr>
                <w:rFonts w:ascii="Arial" w:hAnsi="Arial"/>
                <w:b w:val="0"/>
                <w:sz w:val="19"/>
              </w:rPr>
              <w:t>Day 1 recap, Q&amp;A and PM digital attendance</w:t>
            </w:r>
          </w:p>
        </w:tc>
        <w:tc>
          <w:tcPr>
            <w:tcW w:type="dxa" w:w="1584"/>
            <w:shd w:val="clear" w:color="auto" w:fill="F3F5F8"/>
          </w:tcPr>
          <w:p>
            <w:pPr>
              <w:jc w:val="center"/>
            </w:pPr>
            <w:r/>
            <w:r>
              <w:rPr>
                <w:rFonts w:ascii="Arial" w:hAnsi="Arial"/>
                <w:b w:val="0"/>
                <w:sz w:val="19"/>
              </w:rPr>
              <w:t>—</w:t>
            </w:r>
          </w:p>
        </w:tc>
      </w:tr>
    </w:tbl>
    <w:p>
      <w:r>
        <w:rPr>
          <w:i/>
          <w:color w:val="555B66"/>
          <w:sz w:val="19"/>
        </w:rPr>
        <w:t>Total training + assessment time: 480 minutes (8.00 hours).</w:t>
      </w:r>
    </w:p>
    <w:p>
      <w:pPr>
        <w:pStyle w:val="Heading2"/>
      </w:pPr>
      <w:r>
        <w:t>Day 2 — Branding in Marketing (cont'd), Branding Effectiveness &amp; Assessment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6048"/>
            <w:shd w:val="clear" w:color="auto" w:fill="1F6FEB"/>
          </w:tcPr>
          <w:p>
            <w:r/>
            <w:r>
              <w:rPr>
                <w:rFonts w:ascii="Arial" w:hAnsi="Arial"/>
                <w:b/>
                <w:color w:val="FFFFFF"/>
                <w:sz w:val="20"/>
              </w:rPr>
              <w:t>Topic / Activity</w:t>
            </w:r>
          </w:p>
        </w:tc>
        <w:tc>
          <w:tcPr>
            <w:tcW w:type="dxa" w:w="1584"/>
            <w:shd w:val="clear" w:color="auto" w:fill="1F6FEB"/>
          </w:tcPr>
          <w:p>
            <w:r/>
            <w:r>
              <w:rPr>
                <w:rFonts w:ascii="Arial" w:hAnsi="Arial"/>
                <w:b/>
                <w:color w:val="FFFFFF"/>
                <w:sz w:val="20"/>
              </w:rPr>
              <w:t>Slides</w:t>
            </w:r>
          </w:p>
        </w:tc>
      </w:tr>
      <w:tr>
        <w:tc>
          <w:tcPr>
            <w:tcW w:type="dxa" w:w="1440"/>
            <w:shd w:val="clear" w:color="auto" w:fill="F3F5F8"/>
          </w:tcPr>
          <w:p>
            <w:r/>
            <w:r>
              <w:rPr>
                <w:rFonts w:ascii="Arial" w:hAnsi="Arial"/>
                <w:b w:val="0"/>
                <w:sz w:val="19"/>
              </w:rPr>
              <w:t>9:30–9:40</w:t>
            </w:r>
          </w:p>
        </w:tc>
        <w:tc>
          <w:tcPr>
            <w:tcW w:type="dxa" w:w="1152"/>
            <w:shd w:val="clear" w:color="auto" w:fill="F3F5F8"/>
          </w:tcPr>
          <w:p>
            <w:r/>
            <w:r>
              <w:rPr>
                <w:rFonts w:ascii="Arial" w:hAnsi="Arial"/>
                <w:b w:val="0"/>
                <w:sz w:val="19"/>
              </w:rPr>
              <w:t>10 min</w:t>
            </w:r>
          </w:p>
        </w:tc>
        <w:tc>
          <w:tcPr>
            <w:tcW w:type="dxa" w:w="6048"/>
            <w:shd w:val="clear" w:color="auto" w:fill="F3F5F8"/>
          </w:tcPr>
          <w:p>
            <w:r/>
            <w:r>
              <w:rPr>
                <w:rFonts w:ascii="Arial" w:hAnsi="Arial"/>
                <w:b w:val="0"/>
                <w:sz w:val="19"/>
              </w:rPr>
              <w:t>Day 1 recap and mandatory digital attendance (AM)</w:t>
            </w:r>
          </w:p>
        </w:tc>
        <w:tc>
          <w:tcPr>
            <w:tcW w:type="dxa" w:w="1584"/>
            <w:shd w:val="clear" w:color="auto" w:fill="F3F5F8"/>
          </w:tcPr>
          <w:p>
            <w:pPr>
              <w:jc w:val="center"/>
            </w:pPr>
            <w:r/>
            <w:r>
              <w:rPr>
                <w:rFonts w:ascii="Arial" w:hAnsi="Arial"/>
                <w:b w:val="0"/>
                <w:sz w:val="19"/>
              </w:rPr>
              <w:t>—</w:t>
            </w:r>
          </w:p>
        </w:tc>
      </w:tr>
      <w:tr>
        <w:tc>
          <w:tcPr>
            <w:tcW w:type="dxa" w:w="1440"/>
          </w:tcPr>
          <w:p>
            <w:r/>
            <w:r>
              <w:rPr>
                <w:rFonts w:ascii="Arial" w:hAnsi="Arial"/>
                <w:b w:val="0"/>
                <w:sz w:val="19"/>
              </w:rPr>
              <w:t>9:40–11:00</w:t>
            </w:r>
          </w:p>
        </w:tc>
        <w:tc>
          <w:tcPr>
            <w:tcW w:type="dxa" w:w="1152"/>
          </w:tcPr>
          <w:p>
            <w:r/>
            <w:r>
              <w:rPr>
                <w:rFonts w:ascii="Arial" w:hAnsi="Arial"/>
                <w:b w:val="0"/>
                <w:sz w:val="19"/>
              </w:rPr>
              <w:t>80 min</w:t>
            </w:r>
          </w:p>
        </w:tc>
        <w:tc>
          <w:tcPr>
            <w:tcW w:type="dxa" w:w="6048"/>
          </w:tcPr>
          <w:p>
            <w:r/>
            <w:r>
              <w:rPr>
                <w:rFonts w:ascii="Arial" w:hAnsi="Arial"/>
                <w:b w:val="0"/>
                <w:sz w:val="19"/>
              </w:rPr>
              <w:t>LU3 (cont'd): Brand Activation Planning Workshop &amp; PR Campaign Budget Planning; LU3 recap</w:t>
            </w:r>
          </w:p>
        </w:tc>
        <w:tc>
          <w:tcPr>
            <w:tcW w:type="dxa" w:w="1584"/>
          </w:tcPr>
          <w:p>
            <w:pPr>
              <w:jc w:val="center"/>
            </w:pPr>
            <w:r/>
            <w:r>
              <w:rPr>
                <w:rFonts w:ascii="Arial" w:hAnsi="Arial"/>
                <w:b w:val="0"/>
                <w:sz w:val="19"/>
              </w:rPr>
              <w:t>Slides 121–130</w:t>
            </w:r>
          </w:p>
        </w:tc>
      </w:tr>
      <w:tr>
        <w:tc>
          <w:tcPr>
            <w:tcW w:type="dxa" w:w="1440"/>
            <w:shd w:val="clear" w:color="auto" w:fill="FFF4E5"/>
          </w:tcPr>
          <w:p>
            <w:r/>
            <w:r>
              <w:rPr>
                <w:rFonts w:ascii="Arial" w:hAnsi="Arial"/>
                <w:b w:val="0"/>
                <w:sz w:val="19"/>
              </w:rPr>
              <w:t>11:00–11:10</w:t>
            </w:r>
          </w:p>
        </w:tc>
        <w:tc>
          <w:tcPr>
            <w:tcW w:type="dxa" w:w="1152"/>
            <w:shd w:val="clear" w:color="auto" w:fill="FFF4E5"/>
          </w:tcPr>
          <w:p>
            <w:r/>
            <w:r>
              <w:rPr>
                <w:rFonts w:ascii="Arial" w:hAnsi="Arial"/>
                <w:b w:val="0"/>
                <w:sz w:val="19"/>
              </w:rPr>
              <w:t>10 min</w:t>
            </w:r>
          </w:p>
        </w:tc>
        <w:tc>
          <w:tcPr>
            <w:tcW w:type="dxa" w:w="6048"/>
            <w:shd w:val="clear" w:color="auto" w:fill="FFF4E5"/>
          </w:tcPr>
          <w:p>
            <w:r/>
            <w:r>
              <w:rPr>
                <w:rFonts w:ascii="Arial" w:hAnsi="Arial"/>
                <w:b w:val="0"/>
                <w:sz w:val="19"/>
              </w:rPr>
              <w:t>Tea break</w:t>
            </w:r>
          </w:p>
        </w:tc>
        <w:tc>
          <w:tcPr>
            <w:tcW w:type="dxa" w:w="1584"/>
            <w:shd w:val="clear" w:color="auto" w:fill="FFF4E5"/>
          </w:tcPr>
          <w:p>
            <w:pPr>
              <w:jc w:val="center"/>
            </w:pPr>
            <w:r/>
            <w:r>
              <w:rPr>
                <w:rFonts w:ascii="Arial" w:hAnsi="Arial"/>
                <w:b w:val="0"/>
                <w:sz w:val="19"/>
              </w:rPr>
              <w:t>—</w:t>
            </w:r>
          </w:p>
        </w:tc>
      </w:tr>
      <w:tr>
        <w:tc>
          <w:tcPr>
            <w:tcW w:type="dxa" w:w="1440"/>
            <w:shd w:val="clear" w:color="auto" w:fill="E8F0FE"/>
          </w:tcPr>
          <w:p>
            <w:r/>
            <w:r>
              <w:rPr>
                <w:rFonts w:ascii="Arial" w:hAnsi="Arial"/>
                <w:b/>
                <w:sz w:val="19"/>
              </w:rPr>
              <w:t>11:10–12:30</w:t>
            </w:r>
          </w:p>
        </w:tc>
        <w:tc>
          <w:tcPr>
            <w:tcW w:type="dxa" w:w="1152"/>
            <w:shd w:val="clear" w:color="auto" w:fill="E8F0FE"/>
          </w:tcPr>
          <w:p>
            <w:r/>
            <w:r>
              <w:rPr>
                <w:rFonts w:ascii="Arial" w:hAnsi="Arial"/>
                <w:b w:val="0"/>
                <w:sz w:val="19"/>
              </w:rPr>
              <w:t>80 min</w:t>
            </w:r>
          </w:p>
        </w:tc>
        <w:tc>
          <w:tcPr>
            <w:tcW w:type="dxa" w:w="6048"/>
            <w:shd w:val="clear" w:color="auto" w:fill="E8F0FE"/>
          </w:tcPr>
          <w:p>
            <w:r/>
            <w:r>
              <w:rPr>
                <w:rFonts w:ascii="Arial" w:hAnsi="Arial"/>
                <w:b/>
                <w:sz w:val="19"/>
              </w:rPr>
              <w:t>LU4 — Branding Effectiveness: concepts, then Platform Reputation Audit &amp; Brand Health Assessment</w:t>
            </w:r>
          </w:p>
        </w:tc>
        <w:tc>
          <w:tcPr>
            <w:tcW w:type="dxa" w:w="1584"/>
            <w:shd w:val="clear" w:color="auto" w:fill="E8F0FE"/>
          </w:tcPr>
          <w:p>
            <w:pPr>
              <w:jc w:val="center"/>
            </w:pPr>
            <w:r/>
            <w:r>
              <w:rPr>
                <w:rFonts w:ascii="Arial" w:hAnsi="Arial"/>
                <w:b w:val="0"/>
                <w:sz w:val="19"/>
              </w:rPr>
              <w:t>Slides 135–151</w:t>
            </w:r>
          </w:p>
        </w:tc>
      </w:tr>
      <w:tr>
        <w:tc>
          <w:tcPr>
            <w:tcW w:type="dxa" w:w="1440"/>
            <w:shd w:val="clear" w:color="auto" w:fill="FDE9D9"/>
          </w:tcPr>
          <w:p>
            <w:r/>
            <w:r>
              <w:rPr>
                <w:rFonts w:ascii="Arial" w:hAnsi="Arial"/>
                <w:b w:val="0"/>
                <w:sz w:val="19"/>
              </w:rPr>
              <w:t>12:30–1:15</w:t>
            </w:r>
          </w:p>
        </w:tc>
        <w:tc>
          <w:tcPr>
            <w:tcW w:type="dxa" w:w="1152"/>
            <w:shd w:val="clear" w:color="auto" w:fill="FDE9D9"/>
          </w:tcPr>
          <w:p>
            <w:r/>
            <w:r>
              <w:rPr>
                <w:rFonts w:ascii="Arial" w:hAnsi="Arial"/>
                <w:b w:val="0"/>
                <w:sz w:val="19"/>
              </w:rPr>
              <w:t>45 min</w:t>
            </w:r>
          </w:p>
        </w:tc>
        <w:tc>
          <w:tcPr>
            <w:tcW w:type="dxa" w:w="6048"/>
            <w:shd w:val="clear" w:color="auto" w:fill="FDE9D9"/>
          </w:tcPr>
          <w:p>
            <w:r/>
            <w:r>
              <w:rPr>
                <w:rFonts w:ascii="Arial" w:hAnsi="Arial"/>
                <w:b w:val="0"/>
                <w:sz w:val="19"/>
              </w:rPr>
              <w:t>Lunch break</w:t>
            </w:r>
          </w:p>
        </w:tc>
        <w:tc>
          <w:tcPr>
            <w:tcW w:type="dxa" w:w="1584"/>
            <w:shd w:val="clear" w:color="auto" w:fill="FDE9D9"/>
          </w:tcPr>
          <w:p>
            <w:pPr>
              <w:jc w:val="center"/>
            </w:pPr>
            <w:r/>
            <w:r>
              <w:rPr>
                <w:rFonts w:ascii="Arial" w:hAnsi="Arial"/>
                <w:b w:val="0"/>
                <w:sz w:val="19"/>
              </w:rPr>
              <w:t>—</w:t>
            </w:r>
          </w:p>
        </w:tc>
      </w:tr>
      <w:tr>
        <w:tc>
          <w:tcPr>
            <w:tcW w:type="dxa" w:w="1440"/>
          </w:tcPr>
          <w:p>
            <w:r/>
            <w:r>
              <w:rPr>
                <w:rFonts w:ascii="Arial" w:hAnsi="Arial"/>
                <w:b w:val="0"/>
                <w:sz w:val="19"/>
              </w:rPr>
              <w:t>1:15–2:35</w:t>
            </w:r>
          </w:p>
        </w:tc>
        <w:tc>
          <w:tcPr>
            <w:tcW w:type="dxa" w:w="1152"/>
          </w:tcPr>
          <w:p>
            <w:r/>
            <w:r>
              <w:rPr>
                <w:rFonts w:ascii="Arial" w:hAnsi="Arial"/>
                <w:b w:val="0"/>
                <w:sz w:val="19"/>
              </w:rPr>
              <w:t>80 min</w:t>
            </w:r>
          </w:p>
        </w:tc>
        <w:tc>
          <w:tcPr>
            <w:tcW w:type="dxa" w:w="6048"/>
          </w:tcPr>
          <w:p>
            <w:r/>
            <w:r>
              <w:rPr>
                <w:rFonts w:ascii="Arial" w:hAnsi="Arial"/>
                <w:b w:val="0"/>
                <w:sz w:val="19"/>
              </w:rPr>
              <w:t>PR Crisis Response Plan &amp; KPI Dashboard Design</w:t>
            </w:r>
          </w:p>
        </w:tc>
        <w:tc>
          <w:tcPr>
            <w:tcW w:type="dxa" w:w="1584"/>
          </w:tcPr>
          <w:p>
            <w:pPr>
              <w:jc w:val="center"/>
            </w:pPr>
            <w:r/>
            <w:r>
              <w:rPr>
                <w:rFonts w:ascii="Arial" w:hAnsi="Arial"/>
                <w:b w:val="0"/>
                <w:sz w:val="19"/>
              </w:rPr>
              <w:t>Slides 160–170</w:t>
            </w:r>
          </w:p>
        </w:tc>
      </w:tr>
      <w:tr>
        <w:tc>
          <w:tcPr>
            <w:tcW w:type="dxa" w:w="1440"/>
            <w:shd w:val="clear" w:color="auto" w:fill="FFF4E5"/>
          </w:tcPr>
          <w:p>
            <w:r/>
            <w:r>
              <w:rPr>
                <w:rFonts w:ascii="Arial" w:hAnsi="Arial"/>
                <w:b w:val="0"/>
                <w:sz w:val="19"/>
              </w:rPr>
              <w:t>2:35–2:45</w:t>
            </w:r>
          </w:p>
        </w:tc>
        <w:tc>
          <w:tcPr>
            <w:tcW w:type="dxa" w:w="1152"/>
            <w:shd w:val="clear" w:color="auto" w:fill="FFF4E5"/>
          </w:tcPr>
          <w:p>
            <w:r/>
            <w:r>
              <w:rPr>
                <w:rFonts w:ascii="Arial" w:hAnsi="Arial"/>
                <w:b w:val="0"/>
                <w:sz w:val="19"/>
              </w:rPr>
              <w:t>10 min</w:t>
            </w:r>
          </w:p>
        </w:tc>
        <w:tc>
          <w:tcPr>
            <w:tcW w:type="dxa" w:w="6048"/>
            <w:shd w:val="clear" w:color="auto" w:fill="FFF4E5"/>
          </w:tcPr>
          <w:p>
            <w:r/>
            <w:r>
              <w:rPr>
                <w:rFonts w:ascii="Arial" w:hAnsi="Arial"/>
                <w:b w:val="0"/>
                <w:sz w:val="19"/>
              </w:rPr>
              <w:t>Tea break</w:t>
            </w:r>
          </w:p>
        </w:tc>
        <w:tc>
          <w:tcPr>
            <w:tcW w:type="dxa" w:w="1584"/>
            <w:shd w:val="clear" w:color="auto" w:fill="FFF4E5"/>
          </w:tcPr>
          <w:p>
            <w:pPr>
              <w:jc w:val="center"/>
            </w:pPr>
            <w:r/>
            <w:r>
              <w:rPr>
                <w:rFonts w:ascii="Arial" w:hAnsi="Arial"/>
                <w:b w:val="0"/>
                <w:sz w:val="19"/>
              </w:rPr>
              <w:t>—</w:t>
            </w:r>
          </w:p>
        </w:tc>
      </w:tr>
      <w:tr>
        <w:tc>
          <w:tcPr>
            <w:tcW w:type="dxa" w:w="1440"/>
          </w:tcPr>
          <w:p>
            <w:r/>
            <w:r>
              <w:rPr>
                <w:rFonts w:ascii="Arial" w:hAnsi="Arial"/>
                <w:b w:val="0"/>
                <w:sz w:val="19"/>
              </w:rPr>
              <w:t>2:45–3:50</w:t>
            </w:r>
          </w:p>
        </w:tc>
        <w:tc>
          <w:tcPr>
            <w:tcW w:type="dxa" w:w="1152"/>
          </w:tcPr>
          <w:p>
            <w:r/>
            <w:r>
              <w:rPr>
                <w:rFonts w:ascii="Arial" w:hAnsi="Arial"/>
                <w:b w:val="0"/>
                <w:sz w:val="19"/>
              </w:rPr>
              <w:t>65 min</w:t>
            </w:r>
          </w:p>
        </w:tc>
        <w:tc>
          <w:tcPr>
            <w:tcW w:type="dxa" w:w="6048"/>
          </w:tcPr>
          <w:p>
            <w:r/>
            <w:r>
              <w:rPr>
                <w:rFonts w:ascii="Arial" w:hAnsi="Arial"/>
                <w:b w:val="0"/>
                <w:sz w:val="19"/>
              </w:rPr>
              <w:t>PR Campaign Audit Exercise; LU4 recap; What You Achieved; Courseware &amp; Assessment on the LMS</w:t>
            </w:r>
          </w:p>
        </w:tc>
        <w:tc>
          <w:tcPr>
            <w:tcW w:type="dxa" w:w="1584"/>
          </w:tcPr>
          <w:p>
            <w:pPr>
              <w:jc w:val="center"/>
            </w:pPr>
            <w:r/>
            <w:r>
              <w:rPr>
                <w:rFonts w:ascii="Arial" w:hAnsi="Arial"/>
                <w:b w:val="0"/>
                <w:sz w:val="19"/>
              </w:rPr>
              <w:t>Slide 179</w:t>
            </w:r>
          </w:p>
        </w:tc>
      </w:tr>
      <w:tr>
        <w:tc>
          <w:tcPr>
            <w:tcW w:type="dxa" w:w="1440"/>
            <w:shd w:val="clear" w:color="auto" w:fill="E8F7EE"/>
          </w:tcPr>
          <w:p>
            <w:r/>
            <w:r>
              <w:rPr>
                <w:rFonts w:ascii="Arial" w:hAnsi="Arial"/>
                <w:b/>
                <w:sz w:val="19"/>
              </w:rPr>
              <w:t>3:50–4:00</w:t>
            </w:r>
          </w:p>
        </w:tc>
        <w:tc>
          <w:tcPr>
            <w:tcW w:type="dxa" w:w="1152"/>
            <w:shd w:val="clear" w:color="auto" w:fill="E8F7EE"/>
          </w:tcPr>
          <w:p>
            <w:r/>
            <w:r>
              <w:rPr>
                <w:rFonts w:ascii="Arial" w:hAnsi="Arial"/>
                <w:b w:val="0"/>
                <w:sz w:val="19"/>
              </w:rPr>
              <w:t>10 min</w:t>
            </w:r>
          </w:p>
        </w:tc>
        <w:tc>
          <w:tcPr>
            <w:tcW w:type="dxa" w:w="6048"/>
            <w:shd w:val="clear" w:color="auto" w:fill="E8F7EE"/>
          </w:tcPr>
          <w:p>
            <w:r/>
            <w:r>
              <w:rPr>
                <w:rFonts w:ascii="Arial" w:hAnsi="Arial"/>
                <w:b/>
                <w:sz w:val="19"/>
              </w:rPr>
              <w:t>Briefing for Assessment</w:t>
            </w:r>
          </w:p>
        </w:tc>
        <w:tc>
          <w:tcPr>
            <w:tcW w:type="dxa" w:w="1584"/>
            <w:shd w:val="clear" w:color="auto" w:fill="E8F7EE"/>
          </w:tcPr>
          <w:p>
            <w:pPr>
              <w:jc w:val="center"/>
            </w:pPr>
            <w:r/>
            <w:r>
              <w:rPr>
                <w:rFonts w:ascii="Arial" w:hAnsi="Arial"/>
                <w:b w:val="0"/>
                <w:sz w:val="19"/>
              </w:rPr>
              <w:t>Slide 12</w:t>
            </w:r>
          </w:p>
        </w:tc>
      </w:tr>
      <w:tr>
        <w:tc>
          <w:tcPr>
            <w:tcW w:type="dxa" w:w="1440"/>
            <w:shd w:val="clear" w:color="auto" w:fill="E8F7EE"/>
          </w:tcPr>
          <w:p>
            <w:r/>
            <w:r>
              <w:rPr>
                <w:rFonts w:ascii="Arial" w:hAnsi="Arial"/>
                <w:b/>
                <w:sz w:val="19"/>
              </w:rPr>
              <w:t>4:00–5:00</w:t>
            </w:r>
          </w:p>
        </w:tc>
        <w:tc>
          <w:tcPr>
            <w:tcW w:type="dxa" w:w="1152"/>
            <w:shd w:val="clear" w:color="auto" w:fill="E8F7EE"/>
          </w:tcPr>
          <w:p>
            <w:r/>
            <w:r>
              <w:rPr>
                <w:rFonts w:ascii="Arial" w:hAnsi="Arial"/>
                <w:b w:val="0"/>
                <w:sz w:val="19"/>
              </w:rPr>
              <w:t>60 min</w:t>
            </w:r>
          </w:p>
        </w:tc>
        <w:tc>
          <w:tcPr>
            <w:tcW w:type="dxa" w:w="6048"/>
            <w:shd w:val="clear" w:color="auto" w:fill="E8F7EE"/>
          </w:tcPr>
          <w:p>
            <w:r/>
            <w:r>
              <w:rPr>
                <w:rFonts w:ascii="Arial" w:hAnsi="Arial"/>
                <w:b/>
                <w:sz w:val="19"/>
              </w:rPr>
              <w:t>Written Assessment (WA) — Short-Answer Questions (SAQ), 1 hour, open book</w:t>
            </w:r>
          </w:p>
        </w:tc>
        <w:tc>
          <w:tcPr>
            <w:tcW w:type="dxa" w:w="1584"/>
            <w:shd w:val="clear" w:color="auto" w:fill="E8F7EE"/>
          </w:tcPr>
          <w:p>
            <w:pPr>
              <w:jc w:val="center"/>
            </w:pPr>
            <w:r/>
            <w:r>
              <w:rPr>
                <w:rFonts w:ascii="Arial" w:hAnsi="Arial"/>
                <w:b w:val="0"/>
                <w:sz w:val="19"/>
              </w:rPr>
              <w:t>Slide 13</w:t>
            </w:r>
          </w:p>
        </w:tc>
      </w:tr>
      <w:tr>
        <w:tc>
          <w:tcPr>
            <w:tcW w:type="dxa" w:w="1440"/>
            <w:shd w:val="clear" w:color="auto" w:fill="E8F7EE"/>
          </w:tcPr>
          <w:p>
            <w:r/>
            <w:r>
              <w:rPr>
                <w:rFonts w:ascii="Arial" w:hAnsi="Arial"/>
                <w:b/>
                <w:sz w:val="19"/>
              </w:rPr>
              <w:t>5:00–6:00</w:t>
            </w:r>
          </w:p>
        </w:tc>
        <w:tc>
          <w:tcPr>
            <w:tcW w:type="dxa" w:w="1152"/>
            <w:shd w:val="clear" w:color="auto" w:fill="E8F7EE"/>
          </w:tcPr>
          <w:p>
            <w:r/>
            <w:r>
              <w:rPr>
                <w:rFonts w:ascii="Arial" w:hAnsi="Arial"/>
                <w:b w:val="0"/>
                <w:sz w:val="19"/>
              </w:rPr>
              <w:t>60 min</w:t>
            </w:r>
          </w:p>
        </w:tc>
        <w:tc>
          <w:tcPr>
            <w:tcW w:type="dxa" w:w="6048"/>
            <w:shd w:val="clear" w:color="auto" w:fill="E8F7EE"/>
          </w:tcPr>
          <w:p>
            <w:r/>
            <w:r>
              <w:rPr>
                <w:rFonts w:ascii="Arial" w:hAnsi="Arial"/>
                <w:b/>
                <w:sz w:val="19"/>
              </w:rPr>
              <w:t>Case Study (CS) — 1 hour, open book. PM digital attendance and TRAQOM survey</w:t>
            </w:r>
          </w:p>
        </w:tc>
        <w:tc>
          <w:tcPr>
            <w:tcW w:type="dxa" w:w="1584"/>
            <w:shd w:val="clear" w:color="auto" w:fill="E8F7EE"/>
          </w:tcPr>
          <w:p>
            <w:pPr>
              <w:jc w:val="center"/>
            </w:pPr>
            <w:r/>
            <w:r>
              <w:rPr>
                <w:rFonts w:ascii="Arial" w:hAnsi="Arial"/>
                <w:b w:val="0"/>
                <w:sz w:val="19"/>
              </w:rPr>
              <w:t>Slide 187</w:t>
            </w:r>
          </w:p>
        </w:tc>
      </w:tr>
    </w:tbl>
    <w:p>
      <w:r>
        <w:rPr>
          <w:i/>
          <w:color w:val="555B66"/>
          <w:sz w:val="19"/>
        </w:rPr>
        <w:t>Total training + assessment time: 465 minutes (7.75 hours).</w:t>
      </w:r>
    </w:p>
    <w:p>
      <w:r>
        <w:rPr>
          <w:i/>
          <w:color w:val="555B66"/>
          <w:sz w:val="19"/>
        </w:rPr>
        <w:t>Day 2 lunch is compressed to 45 minutes (from Day 1's 1 hour) so that content and wrap-up finish by 4:00pm, per the WSQ two-day assessment-day scheduling rule — the 2-hour Assessment block (WA + Case Study) then runs 4:00pm–6:00pm, ending the course at 6:00pm.</w:t>
      </w:r>
    </w:p>
    <w:p>
      <w:pPr>
        <w:pStyle w:val="Heading1"/>
      </w:pPr>
      <w:r>
        <w:t>Topic-by-Topic Breakdown</w:t>
      </w:r>
    </w:p>
    <w:p>
      <w:pPr>
        <w:pStyle w:val="Heading2"/>
      </w:pPr>
      <w:r>
        <w:t>LU1 — Stakeholders and Organisation · Slide 16</w:t>
      </w:r>
    </w:p>
    <w:p>
      <w:r>
        <w:t>Internal &amp; External Stakeholders · Audience Types · Brand Design · Reputation Assessment</w:t>
      </w:r>
    </w:p>
    <w:p>
      <w:r>
        <w:rPr>
          <w:b/>
        </w:rPr>
        <w:t>Key concepts:</w:t>
      </w:r>
    </w:p>
    <w:p>
      <w:pPr>
        <w:pStyle w:val="ListBullet"/>
      </w:pPr>
      <w:r>
        <w:t>Internal stakeholders (management, employees) and external stakeholders (customers, partners, investors, media) each hold a different level of influence over — and interest in — the brand.</w:t>
      </w:r>
    </w:p>
    <w:p>
      <w:pPr>
        <w:pStyle w:val="ListBullet"/>
      </w:pPr>
      <w:r>
        <w:t>External audiences segment into customers, partners, investors and media; each needs its own communication approach and message.</w:t>
      </w:r>
    </w:p>
    <w:p>
      <w:pPr>
        <w:pStyle w:val="ListBullet"/>
      </w:pPr>
      <w:r>
        <w:t>Branding designs and ideas should foreground the product or service's attributes and the concrete benefits they deliver to the audience.</w:t>
      </w:r>
    </w:p>
    <w:p>
      <w:pPr>
        <w:pStyle w:val="ListBullet"/>
      </w:pPr>
      <w:r>
        <w:t>Assessing an organisation's reputation on social media and other platforms — reviews, mentions, sentiment — is the starting point for every branding decision.</w:t>
      </w:r>
    </w:p>
    <w:p>
      <w:pPr>
        <w:pStyle w:val="Heading3"/>
      </w:pPr>
      <w:r>
        <w:t>Activity 1 — Stakeholder Influence Mapping · Slide 23</w:t>
      </w:r>
    </w:p>
    <w:p>
      <w:r>
        <w:t>Objective: Identify internal and external stakeholders influencing the brand.</w:t>
      </w:r>
    </w:p>
    <w:p>
      <w:r>
        <w:t>Scenario: Nimbus Wellness Pte Ltd, a 25-person Singapore boutique skincare and wellness brand, is three months from its 5th-anniversary relaunch. The founder has committed to a new sustainable-packaging line as the centrepiece of the relaunch story. Not everyone is convinced. Retail operations worries the new packaging will raise unit cost and slow reorders. A wellness retail chain that carries Nimbus in 40 outlets wants proof the change won't disrupt supply before it commits fresh shelf space. Meanwhile a vocal community of long-time customers on social media is already asking why Nimbus hasn't "gone green" sooner. Before the founder locks the relaunch brief, your table must map who genuinely has power and interest in this decision — and design how to bring each group along, not just announce it to them.</w:t>
      </w:r>
    </w:p>
    <w:p>
      <w:r>
        <w:t>Duration: 25 minutes.</w:t>
      </w:r>
    </w:p>
    <w:p>
      <w:pPr>
        <w:pStyle w:val="Heading3"/>
      </w:pPr>
      <w:r>
        <w:t>Activity 2 — Audience Mapping Workshop · Slide 33</w:t>
      </w:r>
    </w:p>
    <w:p>
      <w:r>
        <w:t>Objective: Recognise the types of external audience and their needs.</w:t>
      </w:r>
    </w:p>
    <w:p>
      <w:r>
        <w:t>Scenario: Nimbus Wellness's 5th-anniversary relaunch has to speak to four very different audiences at once: existing loyal customers who feel the brand has drifted from them, new customers discovering Nimbus while comparing it to a competitor, the wellness retail chain deciding whether to expand shelf space, and the lifestyle press deciding whether the relaunch is even a story worth covering. The Marketing Lead has one shared relaunch deck for all four groups. Your table's job is to show her, with evidence, why it cannot say the same thing to all four the same way — and what should change for each.</w:t>
      </w:r>
    </w:p>
    <w:p>
      <w:r>
        <w:t>Duration: 25 minutes.</w:t>
      </w:r>
    </w:p>
    <w:p>
      <w:pPr>
        <w:pStyle w:val="Heading3"/>
      </w:pPr>
      <w:r>
        <w:t>Activity 3 — Brand Attribute Mapping · Slide 42</w:t>
      </w:r>
    </w:p>
    <w:p>
      <w:r>
        <w:t>Objective: Draft branding designs and ideas highlighting the product or service's attributes and benefits.</w:t>
      </w:r>
    </w:p>
    <w:p>
      <w:r>
        <w:t>Scenario: For the relaunch, the founder wants one page that finally settles what Nimbus stands for — because right now the brand isn't described the same way twice. Retail calls it "affordable self-care." Marketing calls it "clean beauty for real skin." Customer Service calls it "the brand that actually replies." Your table must map Nimbus's hard attributes (the real product facts) and soft attributes (the feelings those facts create) into one brand concept the founder can approve — and that all three teams could say in their own words.</w:t>
      </w:r>
    </w:p>
    <w:p>
      <w:r>
        <w:t>Duration: 30 minutes.</w:t>
      </w:r>
    </w:p>
    <w:p>
      <w:pPr>
        <w:pStyle w:val="Heading3"/>
      </w:pPr>
      <w:r>
        <w:t>Activity 4 — Digital Reputation Audit Exercise · Slide 51</w:t>
      </w:r>
    </w:p>
    <w:p>
      <w:r>
        <w:t>Objective: Assess the organisation's reputation on social media and other platforms.</w:t>
      </w:r>
    </w:p>
    <w:p>
      <w:r>
        <w:t>Scenario: Six months ago a competitor's viral campaign pulled attention away from Nimbus Wellness. Since then, engagement has fallen and reviews increasingly say the brand "doesn't feel personal anymore." Before the founder finalises the relaunch brief, leadership wants a clear-eyed audit of where Nimbus's reputation actually stands today — not where the founder assumes it stands.</w:t>
      </w:r>
    </w:p>
    <w:p>
      <w:r>
        <w:t>Duration: 45 minutes.</w:t>
      </w:r>
    </w:p>
    <w:p>
      <w:pPr>
        <w:pStyle w:val="Heading2"/>
      </w:pPr>
      <w:r>
        <w:t>LU2 — Customer Influence · Slide 56</w:t>
      </w:r>
    </w:p>
    <w:p>
      <w:r>
        <w:t>Customer Perceptions · Brand Reputation · Campaign Reception · Active Listening</w:t>
      </w:r>
    </w:p>
    <w:p>
      <w:r>
        <w:rPr>
          <w:b/>
        </w:rPr>
        <w:t>Key concepts:</w:t>
      </w:r>
    </w:p>
    <w:p>
      <w:pPr>
        <w:pStyle w:val="ListBullet"/>
      </w:pPr>
      <w:r>
        <w:t>Customers form perceptions of a brand, its products and its services from quality, experience and communication — a gap often exists between what a company believes and what customers actually feel.</w:t>
      </w:r>
    </w:p>
    <w:p>
      <w:pPr>
        <w:pStyle w:val="ListBullet"/>
      </w:pPr>
      <w:r>
        <w:t>Customers actively shape brand reputation through word-of-mouth, reviews and advocacy — their voice can amplify or damage a brand faster than any paid campaign.</w:t>
      </w:r>
    </w:p>
    <w:p>
      <w:pPr>
        <w:pStyle w:val="ListBullet"/>
      </w:pPr>
      <w:r>
        <w:t>Documenting customer reception and the outcome of branding campaigns turns anecdotal feedback into evidence for future campaign decisions.</w:t>
      </w:r>
    </w:p>
    <w:p>
      <w:pPr>
        <w:pStyle w:val="ListBullet"/>
      </w:pPr>
      <w:r>
        <w:t>Active listening — full attention, a structured framework, and paraphrasing without judgement — reveals the customer's true perspective of the organisation.</w:t>
      </w:r>
    </w:p>
    <w:p>
      <w:pPr>
        <w:pStyle w:val="Heading3"/>
      </w:pPr>
      <w:r>
        <w:t>Activity 5 — Brand Perception Audit · Slide 63</w:t>
      </w:r>
    </w:p>
    <w:p>
      <w:r>
        <w:t>Objective: Assess customer perceptions of the brand, products and services.</w:t>
      </w:r>
    </w:p>
    <w:p>
      <w:r>
        <w:t>Scenario: The Activity 4 reputation audit surfaced one theme again and again: customers say Nimbus Wellness "doesn't feel personal anymore." Marketing's official position is that nothing has changed — the formulas, ingredients and packaging are exactly what they were a year ago. If the product itself hasn't moved, something else has. A closer look at Customer Service's own numbers hints at where: average reply time has improved since two outlets added self-checkout kiosks and the contact-centre adopted faster chat macros. The technical quality — what the product does — looks unchanged on paper. But the value quality — how it feels to deal with Nimbus — may have quietly slipped underneath the metrics leadership actually tracks. Before the founder locks the relaunch brief, your table must compare what Marketing believes against what a sample of real customer feedback actually says, and turn the difference into a short, prioritised gap list leadership can act on this week.</w:t>
      </w:r>
    </w:p>
    <w:p>
      <w:r>
        <w:t>Duration: 25 minutes.</w:t>
      </w:r>
    </w:p>
    <w:p>
      <w:pPr>
        <w:pStyle w:val="Heading3"/>
      </w:pPr>
      <w:r>
        <w:t>Activity 6 — Brand Advocacy Assessment · Slide 72</w:t>
      </w:r>
    </w:p>
    <w:p>
      <w:r>
        <w:t>Objective: Recognise the importance of the customer in influencing brand reputation.</w:t>
      </w:r>
    </w:p>
    <w:p>
      <w:r>
        <w:t>Scenario: Activity 5 traced the perception gap mostly to Value Quality — the feeling of being known — rather than to the product itself. That is, in one sense, good news: it means Nimbus already has the raw material to fix it. The same loyal-customer Facebook community that has been asking "why hasn't Nimbus gone green sooner?" is still active, still buying, and still willing to talk about the brand. The founder now wants the relaunch to lean on these genuine advocates rather than paid media alone. But the online review picture is mixed — some customers are clearly still delighted, others are the ones driving the "doesn't feel personal anymore" narrative, and a few are firmly on the fence. Your table's job is to read the available feedback, identify who the real advocates are, and design an advocacy assessment and strategy that strengthens the loop before the anniversary campaign goes live — without ignoring the risk that a negative experience could restart the narrative that hurt Nimbus six months ago.</w:t>
      </w:r>
    </w:p>
    <w:p>
      <w:r>
        <w:t>Duration: 25 minutes.</w:t>
      </w:r>
    </w:p>
    <w:p>
      <w:pPr>
        <w:pStyle w:val="Heading3"/>
      </w:pPr>
      <w:r>
        <w:t>Activity 7 — Campaign Documentation Audit · Slide 81</w:t>
      </w:r>
    </w:p>
    <w:p>
      <w:r>
        <w:t>Objective: Document customer reception to the brand and the outcome of branding campaigns.</w:t>
      </w:r>
    </w:p>
    <w:p>
      <w:r>
        <w:t>Scenario: Three months ago, before committing the full relaunch budget, the Marketing Lead quietly piloted a small "Behind the Jar" campaign — a short Instagram Stories series introducing the new sustainable-packaging story to a slice of the loyal-customer community, alongside one boosted post, a short unpaid write-up from a local lifestyle blog, and a supporting post on the Nimbus website. Nobody kept a single, consistent record of how it performed. Some numbers live in a Marketing team member's spreadsheet, some in a Notion page nobody else can find, and the rest is only in people's memory of "it went pretty well." With the Board wanting proof that the full relaunch campaign works — not just louder impressions — that will not be good enough this time. Your table's job is to reconstruct what actually happened to the pilot campaign across paid, earned, shared and owned media, and turn it into a documentation framework the team can reuse for the real relaunch three months from now.</w:t>
      </w:r>
    </w:p>
    <w:p>
      <w:r>
        <w:t>Duration: 25 minutes.</w:t>
      </w:r>
    </w:p>
    <w:p>
      <w:pPr>
        <w:pStyle w:val="Heading3"/>
      </w:pPr>
      <w:r>
        <w:t>Activity 8 — Customer Perspective Analysis · Slide 90</w:t>
      </w:r>
    </w:p>
    <w:p>
      <w:r>
        <w:t>Objective: Perform active listening from the customer to understand the customer's perspective of the organisation.</w:t>
      </w:r>
    </w:p>
    <w:p>
      <w:r>
        <w:t>Scenario: Priya has bought from Nimbus Wellness since its first year. Last night she read the same community Facebook thread the Activity 4 audit flagged — customers saying Nimbus "doesn't feel personal anymore" — and she agrees. This morning she calls Customer Service, frustrated, wanting to know why the brand she used to feel loyal to now treats her like any other order number. The rep taking the call has a real average-handle-time target and a bank of quick-reply macros that would close this call in under two minutes. But leadership has asked every Customer Service call this week to be an active-listening opportunity, not just a resolution — because this exact situation is what the relaunch's active-listening approach will need to prove it can handle. Your group of three will run this call as a role play, coached in real time against the 3 P's, then turn what was actually said — not just what was resolved — into a documented customer-perspective insight for the relaunch team.</w:t>
      </w:r>
    </w:p>
    <w:p>
      <w:r>
        <w:t>Duration: 25 minutes.</w:t>
      </w:r>
    </w:p>
    <w:p>
      <w:pPr>
        <w:pStyle w:val="Heading2"/>
      </w:pPr>
      <w:r>
        <w:t>LU3 — Branding in Marketing · Slide 96</w:t>
      </w:r>
    </w:p>
    <w:p>
      <w:r>
        <w:t>Branding Basics · Role in Marketing · Awareness Campaigns · PR Execution</w:t>
      </w:r>
    </w:p>
    <w:p>
      <w:r>
        <w:rPr>
          <w:b/>
        </w:rPr>
        <w:t>Key concepts:</w:t>
      </w:r>
    </w:p>
    <w:p>
      <w:pPr>
        <w:pStyle w:val="ListBullet"/>
      </w:pPr>
      <w:r>
        <w:t>Branding basics — visual identity, brand values, brand voice and brand guidelines — give a business a consistent, recognisable presence.</w:t>
      </w:r>
    </w:p>
    <w:p>
      <w:pPr>
        <w:pStyle w:val="ListBullet"/>
      </w:pPr>
      <w:r>
        <w:t>Branding plays a central role in marketing: it builds trust, differentiates from competitors and creates the emotional connection that drives loyalty.</w:t>
      </w:r>
    </w:p>
    <w:p>
      <w:pPr>
        <w:pStyle w:val="ListBullet"/>
      </w:pPr>
      <w:r>
        <w:t>Executing branding campaigns, events and activities — from social pushes to experiential pop-ups — raises brand awareness across the target audience.</w:t>
      </w:r>
    </w:p>
    <w:p>
      <w:pPr>
        <w:pStyle w:val="ListBullet"/>
      </w:pPr>
      <w:r>
        <w:t>Public-relations campaigns must align to the brand positioning strategy, the operational plan and the marketing budget to stay credible and sustainable.</w:t>
      </w:r>
    </w:p>
    <w:p>
      <w:pPr>
        <w:pStyle w:val="Heading3"/>
      </w:pPr>
      <w:r>
        <w:t>Activity 9 — Brand Audit Workshop · Slide 103</w:t>
      </w:r>
    </w:p>
    <w:p>
      <w:r>
        <w:t>Objective: Explain the basics of branding.</w:t>
      </w:r>
    </w:p>
    <w:p>
      <w:r>
        <w:t>Scenario: Nimbus Wellness now has an approved brand concept line from the LU1 attribute-mapping work — but the founder has noticed that the website, the in-store signage and the Instagram bio still each describe the brand slightly differently. Nothing has actually been written down as a standard. With the 5th-anniversary relaunch three months away, the founder wants one brand-guidelines document that Retail, Marketing and Customer Service can all point to — before a single relaunch asset (banner, caption, staff script) gets produced. Your table has been asked to draft that guidelines document from the brand concept line Nimbus already approved.</w:t>
      </w:r>
    </w:p>
    <w:p>
      <w:r>
        <w:t>Duration: 30 minutes.</w:t>
      </w:r>
    </w:p>
    <w:p>
      <w:pPr>
        <w:pStyle w:val="Heading3"/>
      </w:pPr>
      <w:r>
        <w:t>Activity 10 — Brand-Marketing Audit Exercise · Slide 112</w:t>
      </w:r>
    </w:p>
    <w:p>
      <w:r>
        <w:t>Objective: Explain the role of branding in marketing.</w:t>
      </w:r>
    </w:p>
    <w:p>
      <w:r>
        <w:t>Scenario: The Marketing Lead has just shown your table Nimbus's most recent campaign: a two-week discount push on the best-selling serum, promoted purely on price. It performed well on sales, but the founder is uneasy — it never once mentioned the brand values from the LU1 attribute map, and a few loyal customers commented that it "felt like any other skincare sale." Before the relaunch campaign is greenlit, leadership wants proof that Nimbus's marketing activity is actually building the brand, not just borrowing short-term attention from it. Your table has been asked to audit the discount campaign against Nimbus's approved brand identity.</w:t>
      </w:r>
    </w:p>
    <w:p>
      <w:r>
        <w:t>Duration: 20 minutes.</w:t>
      </w:r>
    </w:p>
    <w:p>
      <w:pPr>
        <w:pStyle w:val="Heading3"/>
      </w:pPr>
      <w:r>
        <w:t>Activity 11 — Brand Activation Planning Workshop · Slide 121</w:t>
      </w:r>
    </w:p>
    <w:p>
      <w:r>
        <w:t>Objective: Execute branding campaigns, events and activities to increase brand awareness.</w:t>
      </w:r>
    </w:p>
    <w:p>
      <w:r>
        <w:t>Scenario: The brand guidelines are drafted and the consistency gaps are named. Now the founder needs an actual activation plan for the 5th-anniversary relaunch — the campaign that has to win back the customers who say Nimbus "doesn't feel personal anymore" while reaching new customers who are comparing Nimbus to the competitor whose viral campaign started this six months ago. The founder has one non-negotiable: the relaunch needs at least one experiential element, not just another round of social ads — something people can walk into, touch or take part in, and want to share themselves. Your table's job is to design the channel mix, the core message and that one experiential element, all traceable back to the brand concept and voice Nimbus has already approved.</w:t>
      </w:r>
    </w:p>
    <w:p>
      <w:r>
        <w:t>Duration: 30 minutes.</w:t>
      </w:r>
    </w:p>
    <w:p>
      <w:pPr>
        <w:pStyle w:val="Heading3"/>
      </w:pPr>
      <w:r>
        <w:t>Activity 12 — PR Campaign Budget Planning · Slide 130</w:t>
      </w:r>
    </w:p>
    <w:p>
      <w:r>
        <w:t>Objective: Execute public-relations campaigns in alignment to brand positioning strategies, operational plans and budget.</w:t>
      </w:r>
    </w:p>
    <w:p>
      <w:r>
        <w:t>Scenario: The CEO has approved a bounded PR budget for the 5th-anniversary relaunch — but not a blank cheque. Before a single dollar is spent, the CEO wants to see it allocated across earned, owned and paid channels in a way that visibly matches Nimbus's brand positioning, not just whichever channel the Marketing team finds easiest to book. The Board has already flagged a second concern for after the relaunch: they want ongoing proof the campaign improved Nimbus's reputation, not just its impression count — so today's budget plan needs KPIs the Board can actually hold the team to. Your table has been asked to build the PR budget proposal the CEO will sign off on.</w:t>
      </w:r>
    </w:p>
    <w:p>
      <w:r>
        <w:t>Duration: 25 minutes.</w:t>
      </w:r>
    </w:p>
    <w:p>
      <w:pPr>
        <w:pStyle w:val="Heading2"/>
      </w:pPr>
      <w:r>
        <w:t>LU4 — Branding Effectiveness · Slide 135</w:t>
      </w:r>
    </w:p>
    <w:p>
      <w:r>
        <w:t>Reputation Metrics · Success Indicators · PR Tactics · KPI Monitoring · Continuous Improvement</w:t>
      </w:r>
    </w:p>
    <w:p>
      <w:r>
        <w:rPr>
          <w:b/>
        </w:rPr>
        <w:t>Key concepts:</w:t>
      </w:r>
    </w:p>
    <w:p>
      <w:pPr>
        <w:pStyle w:val="ListBullet"/>
      </w:pPr>
      <w:r>
        <w:t>Reputation is measured through social metrics, digital metrics (traffic, mentions) and business KPIs (NPS, satisfaction) across every platform the organisation touches.</w:t>
      </w:r>
    </w:p>
    <w:p>
      <w:pPr>
        <w:pStyle w:val="ListBullet"/>
      </w:pPr>
      <w:r>
        <w:t>Successful branding shows up in awareness, customer loyalty, financial impact and trust metrics — tracked consistently over time, not measured once.</w:t>
      </w:r>
    </w:p>
    <w:p>
      <w:pPr>
        <w:pStyle w:val="ListBullet"/>
      </w:pPr>
      <w:r>
        <w:t>Public-relations tactics — media relations, community outreach, crisis management and digital engagement — extend the brand's message beyond paid channels.</w:t>
      </w:r>
    </w:p>
    <w:p>
      <w:pPr>
        <w:pStyle w:val="ListBullet"/>
      </w:pPr>
      <w:r>
        <w:t>Monitoring the brand against SMART KPIs and acting on the gaps turns brand management into a continuous-improvement cycle rather than a one-off campaign.</w:t>
      </w:r>
    </w:p>
    <w:p>
      <w:pPr>
        <w:pStyle w:val="Heading3"/>
      </w:pPr>
      <w:r>
        <w:t>Activity 13 — Platform Reputation Audit · Slide 142</w:t>
      </w:r>
    </w:p>
    <w:p>
      <w:r>
        <w:t>Objective: Identify measures or indicators of the organisation's reputation on different platforms.</w:t>
      </w:r>
    </w:p>
    <w:p>
      <w:r>
        <w:t>Scenario: Three weeks after Nimbus Wellness's 5th-anniversary relaunch went live, the founder is celebrating a spike in impressions and website traffic. The Board isn't satisfied with raw numbers, though — it wants to know whether the relaunch actually repaired the "doesn't feel personal anymore" perception gap uncovered before the campaign, or just produced a short-term spike in attention. Marketing has a folder of screenshots — likes, shares, a handful of glowing reviews — but no one has compared this to what reputation looked like before the relaunch, or checked the platforms customers actually complain on, like Google reviews and the wellness retail chain's own app. Before Marketing reports back to the Board next week, your table must build the audit that separates real reputation movement from relaunch-week noise.</w:t>
      </w:r>
    </w:p>
    <w:p>
      <w:r>
        <w:t>Duration: 20 minutes.</w:t>
      </w:r>
    </w:p>
    <w:p>
      <w:pPr>
        <w:pStyle w:val="Heading3"/>
      </w:pPr>
      <w:r>
        <w:t>Activity 14 — Brand Health Assessment · Slide 151</w:t>
      </w:r>
    </w:p>
    <w:p>
      <w:r>
        <w:t>Objective: Recognise the indicators of successful branding.</w:t>
      </w:r>
    </w:p>
    <w:p>
      <w:r>
        <w:t>Scenario: The Board's real question isn't "did the relaunch get noticed" — it's whether Nimbus's brand is genuinely healthier than it was six months ago. Marketing has awareness numbers on hand, but no one has looked at loyalty, financial impact or trust together. The founder is due to present a "State of the Brand" update to the Board in two weeks, right after the relaunch's first full sales cycle closes. She has asked your table for a one-page brand-health scorecard she can defend line by line. Customer Service has also noticed something odd: several long-time customers who complained the brand "feels distant" are now leaving five-star reviews again — but repeat-purchase data hasn't moved yet.</w:t>
      </w:r>
    </w:p>
    <w:p>
      <w:r>
        <w:t>Duration: 25 minutes.</w:t>
      </w:r>
    </w:p>
    <w:p>
      <w:pPr>
        <w:pStyle w:val="Heading3"/>
      </w:pPr>
      <w:r>
        <w:t>Activity 15 — PR Crisis Response Plan · Slide 160</w:t>
      </w:r>
    </w:p>
    <w:p>
      <w:r>
        <w:t>Objective: Apply public-relations tactics.</w:t>
      </w:r>
    </w:p>
    <w:p>
      <w:r>
        <w:t>Scenario: It's 9pm, the night before the founder's biggest relaunch media interview yet. A customer posts a video of her new Nimbus jar — from the new sustainable packaging line launched with the anniversary campaign — cracked and leaking product, captioned "the 'eco-friendly' packaging Nimbus is so proud of." Within two hours it has hundreds of shares and a wave of other customers replying with their own photos. Operations thinks it may be a single bad batch from the new packaging supplier, but can't confirm numbers until morning. The journalist doing tomorrow's interview has already seen the thread and has emailed asking whether Nimbus knew about a defect before launch. The founder wants to say nothing until Operations has the full facts — but the thread is growing every hour, and tomorrow's interview is unavoidable. Your group must decide what Nimbus does tonight, and what the spokesperson says tomorrow morning.</w:t>
      </w:r>
    </w:p>
    <w:p>
      <w:r>
        <w:t>Duration: 25 minutes.</w:t>
      </w:r>
    </w:p>
    <w:p>
      <w:pPr>
        <w:pStyle w:val="Heading3"/>
      </w:pPr>
      <w:r>
        <w:t>Activity 16 — KPI Dashboard Design · Slide 170</w:t>
      </w:r>
    </w:p>
    <w:p>
      <w:r>
        <w:t>Objective: Monitor the success of the brand against Key Performance Indicators (KPI).</w:t>
      </w:r>
    </w:p>
    <w:p>
      <w:r>
        <w:t>Scenario: The Board's ask is specific: it wants a KPI framework it can check every month after the relaunch, not a one-off report from Marketing whenever someone remembers to send it. The founder, who is not a numbers person, has asked for something she can read in five minutes and still trust. Right now every department tracks something different — Marketing watches follower counts, Retail watches footfall, Customer Service watches response times — and none of it is compared against a target or a deadline. Last month someone reported "engagement is up" without saying up from what, or by when it should keep rising. Your table's job is to turn this scattered activity into a small set of SMART KPIs the Board can actually govern the relaunch by.</w:t>
      </w:r>
    </w:p>
    <w:p>
      <w:r>
        <w:t>Duration: 20 minutes.</w:t>
      </w:r>
    </w:p>
    <w:p>
      <w:pPr>
        <w:pStyle w:val="Heading3"/>
      </w:pPr>
      <w:r>
        <w:t>Activity 17 — PR Campaign Audit Exercise · Slide 179</w:t>
      </w:r>
    </w:p>
    <w:p>
      <w:r>
        <w:t>Objective: Provide suggestions to improve public-relations campaign effectiveness.</w:t>
      </w:r>
    </w:p>
    <w:p>
      <w:r>
        <w:t>Scenario: It's now two months after the 5th-anniversary relaunch. The Board has seen the KPI dashboard designed in the last activity, and the numbers are mixed: impressions are up sharply, but the "doesn't feel personal anymore" sentiment has only partly recovered, and one retail partner is still hesitant to expand shelf space. The founder wants one final audit before she reports to the Board — not a scorecard of what Nimbus did, but a verdict on whether the relaunch campaign actually worked, and three concrete recommendations for what happens next. This is the same audit the Board will expect Nimbus to repeat after every future campaign — so your table isn't just closing out the relaunch, it's building the habit the brand will run on going forward.</w:t>
      </w:r>
    </w:p>
    <w:p>
      <w:r>
        <w:t>Duration: 25 minutes.</w:t>
      </w:r>
    </w:p>
    <w:p>
      <w:pPr>
        <w:pStyle w:val="Heading1"/>
      </w:pPr>
      <w:r>
        <w:t>Resources Required</w:t>
      </w:r>
    </w:p>
    <w:p>
      <w:pPr>
        <w:pStyle w:val="ListBullet"/>
      </w:pPr>
      <w:r>
        <w:t>Projector/screen and PA system for the trainer's slide deck.</w:t>
      </w:r>
    </w:p>
    <w:p>
      <w:pPr>
        <w:pStyle w:val="ListBullet"/>
      </w:pPr>
      <w:r>
        <w:t>Whiteboard/flip chart and markers for group activity work.</w:t>
      </w:r>
    </w:p>
    <w:p>
      <w:pPr>
        <w:pStyle w:val="ListBullet"/>
      </w:pPr>
      <w:r>
        <w:t>Printed or digital copies of the Learner Guide for every learner.</w:t>
      </w:r>
    </w:p>
    <w:p>
      <w:pPr>
        <w:pStyle w:val="ListBullet"/>
      </w:pPr>
      <w:r>
        <w:t>Internet access for learners to research live brand examples during activities.</w:t>
      </w:r>
    </w:p>
    <w:p>
      <w:pPr>
        <w:pStyle w:val="ListBullet"/>
      </w:pPr>
      <w:r>
        <w:t>Mobile phones (learners' own) for the SSG digital-attendance QR scans.</w:t>
      </w:r>
    </w:p>
    <w:p>
      <w:pPr>
        <w:pStyle w:val="Heading1"/>
      </w:pPr>
      <w:r>
        <w:t>Assessment</w:t>
      </w:r>
    </w:p>
    <w:p>
      <w:pPr>
        <w:pStyle w:val="ListBullet"/>
      </w:pPr>
      <w:r>
        <w:t>Written Assessment (WA) — Short-Answer Questions (SAQ), 1 hour, open book.</w:t>
      </w:r>
    </w:p>
    <w:p>
      <w:pPr>
        <w:pStyle w:val="ListBullet"/>
      </w:pPr>
      <w:r>
        <w:t>Case Study (CS) — one continuous branding scenario with open-ended tasks, 1 hour, open book.</w:t>
      </w:r>
    </w:p>
    <w:p>
      <w:pPr>
        <w:pStyle w:val="ListBullet"/>
      </w:pPr>
      <w:r>
        <w:t>Grading: Competent / Not Yet Competent.</w:t>
      </w:r>
    </w:p>
    <w:p>
      <w:pPr>
        <w:pStyle w:val="ListBullet"/>
      </w:pPr>
      <w:r>
        <w:t>A minimum of 75% attendance (SSG Digital Attendance record) is required for funding eligibility.</w:t>
      </w:r>
    </w:p>
    <w:p>
      <w:pPr>
        <w:pStyle w:val="ListBullet"/>
      </w:pPr>
      <w:r>
        <w:t>Learners submit their assessment answers and complete the TRAQOM survey on the LMS at https://lms-tms.tertiaryinfotech.com/.</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