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 — CHECKLIST</w:t>
      </w:r>
    </w:p>
    <w:p>
      <w:r>
        <w:rPr>
          <w:b/>
          <w:color w:val="111827"/>
          <w:sz w:val="30"/>
        </w:rPr>
        <w:t>Stakeholder Influence Mapping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Role Play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LU1 — Stakeholders and Organisation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Stakeholder Influence Mapping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grid has both axes labelled and all four quadrants named.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Exactly 12 stakeholders are placed — 6 internal, 6 external.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Each stakeholder has a stated position AND an underlying concern recorded.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quadrant has an engagement approach written against it.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table can name one stakeholder they would have under-managed, and why.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completed Power-Interest map with both internal and external stakeholders placed, and an engagement approach per quadrant that matches the stakeholder's real concern — not just their job title.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