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 — FACILITATOR GUIDE</w:t>
      </w:r>
    </w:p>
    <w:p>
      <w:r>
        <w:rPr>
          <w:b/>
          <w:color w:val="111827"/>
          <w:sz w:val="30"/>
        </w:rPr>
        <w:t>Stakeholder Influence Mapping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LU1</w:t>
            </w:r>
          </w:p>
        </w:tc>
        <w:tc>
          <w:tcPr>
            <w:tcW w:type="dxa" w:w="2419"/>
            <w:shd w:val="clear" w:color="auto" w:fill="F5F8FC"/>
          </w:tcPr>
          <w:p>
            <w:r>
              <w:rPr>
                <w:b/>
                <w:color w:val="1F6FEB"/>
                <w:sz w:val="15"/>
              </w:rPr>
              <w:t>TOPIC</w:t>
            </w:r>
          </w:p>
          <w:p>
            <w:r>
              <w:rPr>
                <w:color w:val="111827"/>
                <w:sz w:val="18"/>
              </w:rPr>
              <w:t>LU1 — Stakeholders and Organisation</w:t>
            </w:r>
          </w:p>
        </w:tc>
      </w:tr>
    </w:tbl>
    <w:p/>
    <w:p>
      <w:pPr>
        <w:pStyle w:val="Heading2"/>
      </w:pPr>
      <w:r>
        <w:t>Purpose of this activity</w:t>
      </w:r>
    </w:p>
    <w:p>
      <w:r>
        <w:t>By the end of this activity learners will be able to identify internal and external stakeholders influencing the brand (LU1).</w:t>
      </w:r>
    </w:p>
    <w:p>
      <w:pPr>
        <w:pStyle w:val="Heading2"/>
      </w:pPr>
      <w:r>
        <w:t>What learners produce</w:t>
      </w:r>
    </w:p>
    <w:p>
      <w:r>
        <w:t>A Power-Interest map with 12 stakeholders placed and an engagement approach written against each quadrant.</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exactly 3 so every role is played.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Nimbus Wellness Pte Ltd, a 25-person Singapore boutique skincare and wellness brand, is three months from its 5th-anniversary relaunch. The founder has committed to a new sustainable-packaging line as the centrepiece of the relaunch story.</w:t>
      </w:r>
    </w:p>
    <w:p>
      <w:r>
        <w:t>Not everyone is convinced. Retail operations worries the new packaging will raise unit cost and slow reorders. A wellness retail chain that carries Nimbus in 40 outlets wants proof the change won't disrupt supply before it commits fresh shelf space. Meanwhile a vocal community of long-time customers on social media is already asking why Nimbus hasn't "gone green" sooner.</w:t>
      </w:r>
    </w:p>
    <w:p>
      <w:r>
        <w:t>Before the founder locks the relaunch brief, your table must map who genuinely has power and interest in this decision — and design how to bring each group along, not just announce it to them.</w:t>
      </w:r>
    </w:p>
    <w:p>
      <w:pPr>
        <w:pStyle w:val="Heading2"/>
      </w:pPr>
      <w:r>
        <w:t>Roles</w:t>
      </w:r>
    </w:p>
    <w:p>
      <w:r>
        <w:t>Assign one role per participant:</w:t>
      </w:r>
    </w:p>
    <w:p>
      <w:pPr>
        <w:pStyle w:val="ListBullet"/>
      </w:pPr>
      <w:r>
        <w:rPr>
          <w:b/>
        </w:rPr>
        <w:t xml:space="preserve">The Founder — </w:t>
      </w:r>
      <w:r>
        <w:rPr>
          <w:i/>
        </w:rPr>
        <w:t xml:space="preserve">Goal: Protect the relaunch vision. </w:t>
      </w:r>
      <w:r>
        <w:t>Wants sustainability to be the headline story of the anniversary campaign and is impatient with anything that looks like delay.</w:t>
      </w:r>
    </w:p>
    <w:p>
      <w:pPr>
        <w:pStyle w:val="ListBullet"/>
      </w:pPr>
      <w:r>
        <w:rPr>
          <w:b/>
        </w:rPr>
        <w:t xml:space="preserve">Retail Operations Lead — </w:t>
      </w:r>
      <w:r>
        <w:rPr>
          <w:i/>
        </w:rPr>
        <w:t xml:space="preserve">Goal: Protect margin and delivery reliability. </w:t>
      </w:r>
      <w:r>
        <w:t>Worried the new packaging supplier will slow reorders right before the relaunch peak season.</w:t>
      </w:r>
    </w:p>
    <w:p>
      <w:pPr>
        <w:pStyle w:val="ListBullet"/>
      </w:pPr>
      <w:r>
        <w:rPr>
          <w:b/>
        </w:rPr>
        <w:t xml:space="preserve">Retail Partner Buyer — </w:t>
      </w:r>
      <w:r>
        <w:rPr>
          <w:i/>
        </w:rPr>
        <w:t xml:space="preserve">Goal: Protect their own shelf-space risk. </w:t>
      </w:r>
      <w:r>
        <w:t>Will only commit expanded shelf space once supply reliability through the transition is proven.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Set up the grid. </w:t>
            </w:r>
            <w:r>
              <w:rPr>
                <w:sz w:val="19"/>
              </w:rPr>
              <w:t>Draw a 2×2 grid on your worksheet or flipchart. Label the horizontal axis Interest (low → high) and the vertical axis Power (low → high). Name the four quadrants: Monitor (low/low), Keep Informed (low power/high interest), Keep Satisfied (high power/low interest), Manage Closely (high/high).</w:t>
            </w:r>
          </w:p>
        </w:tc>
        <w:tc>
          <w:tcPr>
            <w:tcW w:type="dxa" w:w="3226"/>
          </w:tcPr>
          <w:p>
            <w:r/>
            <w:r>
              <w:rPr>
                <w:sz w:val="18"/>
              </w:rPr>
              <w:t>Watch for tables that place every stakeholder in Manage Closely — push them: if everything is a priority, nothing is.</w:t>
            </w:r>
          </w:p>
        </w:tc>
      </w:tr>
      <w:tr>
        <w:tc>
          <w:tcPr>
            <w:tcW w:type="dxa" w:w="3226"/>
            <w:shd w:val="clear" w:color="auto" w:fill="F5F8FC"/>
          </w:tcPr>
          <w:p>
            <w:r/>
            <w:r>
              <w:rPr>
                <w:sz w:val="19"/>
              </w:rPr>
              <w:t>2</w:t>
            </w:r>
          </w:p>
        </w:tc>
        <w:tc>
          <w:tcPr>
            <w:tcW w:type="dxa" w:w="3226"/>
            <w:shd w:val="clear" w:color="auto" w:fill="F5F8FC"/>
          </w:tcPr>
          <w:p>
            <w:r/>
            <w:r>
              <w:rPr>
                <w:b/>
                <w:sz w:val="19"/>
              </w:rPr>
              <w:t xml:space="preserve">Assign the three roles. </w:t>
            </w:r>
            <w:r>
              <w:rPr>
                <w:sz w:val="19"/>
              </w:rPr>
              <w:t>One person takes the Founder, one the Retail Operations Lead, one the Retail Partner Buyer. Everyone else at the table acts as the brand team facilitating. Role-holders answer in character for the rest of the activity.</w:t>
            </w:r>
          </w:p>
        </w:tc>
        <w:tc>
          <w:tcPr>
            <w:tcW w:type="dxa" w:w="3226"/>
            <w:shd w:val="clear" w:color="auto" w:fill="F5F8FC"/>
          </w:tcPr>
          <w:p>
            <w:r/>
            <w:r>
              <w:rPr>
                <w:sz w:val="18"/>
              </w:rPr>
              <w:t>The vocal customer community is the instructive case: high interest, low formal power, but capable of becoming high power overnight through social media.</w:t>
            </w:r>
          </w:p>
        </w:tc>
      </w:tr>
      <w:tr>
        <w:tc>
          <w:tcPr>
            <w:tcW w:type="dxa" w:w="3226"/>
          </w:tcPr>
          <w:p>
            <w:r/>
            <w:r>
              <w:rPr>
                <w:sz w:val="19"/>
              </w:rPr>
              <w:t>3</w:t>
            </w:r>
          </w:p>
        </w:tc>
        <w:tc>
          <w:tcPr>
            <w:tcW w:type="dxa" w:w="3226"/>
          </w:tcPr>
          <w:p>
            <w:r/>
            <w:r>
              <w:rPr>
                <w:b/>
                <w:sz w:val="19"/>
              </w:rPr>
              <w:t xml:space="preserve">List stakeholders individually first. </w:t>
            </w:r>
            <w:r>
              <w:rPr>
                <w:sz w:val="19"/>
              </w:rPr>
              <w:t>Working alone for three minutes, write down every stakeholder group touched by the sustainable-packaging relaunch decision. Aim for at least eight. Working alone first prevents the loudest voice at the table from anchoring the list.</w:t>
            </w:r>
          </w:p>
        </w:tc>
        <w:tc>
          <w:tcPr>
            <w:tcW w:type="dxa" w:w="3226"/>
          </w:tcPr>
          <w:p>
            <w:r/>
            <w:r>
              <w:rPr>
                <w:sz w:val="18"/>
              </w:rPr>
              <w:t>If a table finishes early, ask them what changes if the retail partner voices hesitation publicly tomorrow.</w:t>
            </w:r>
          </w:p>
        </w:tc>
      </w:tr>
      <w:tr>
        <w:tc>
          <w:tcPr>
            <w:tcW w:type="dxa" w:w="3226"/>
            <w:shd w:val="clear" w:color="auto" w:fill="F5F8FC"/>
          </w:tcPr>
          <w:p>
            <w:r/>
            <w:r>
              <w:rPr>
                <w:sz w:val="19"/>
              </w:rPr>
              <w:t>4</w:t>
            </w:r>
          </w:p>
        </w:tc>
        <w:tc>
          <w:tcPr>
            <w:tcW w:type="dxa" w:w="3226"/>
            <w:shd w:val="clear" w:color="auto" w:fill="F5F8FC"/>
          </w:tcPr>
          <w:p>
            <w:r/>
            <w:r>
              <w:rPr>
                <w:b/>
                <w:sz w:val="19"/>
              </w:rPr>
              <w:t xml:space="preserve">Pool and split internal from external. </w:t>
            </w:r>
            <w:r>
              <w:rPr>
                <w:sz w:val="19"/>
              </w:rPr>
              <w:t>Combine the individual lists on one sheet. Draw a line down the middle: internal (management, employees, operations) on the left; external (customers, retail partners, investors, media, regulators) on the right. Trim or merge duplicates until you have 6 internal and 6 external — 12 in total.</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Interview the three roles for their real concern. </w:t>
            </w:r>
            <w:r>
              <w:rPr>
                <w:sz w:val="19"/>
              </w:rPr>
              <w:t>Ask each role-holder in turn: “What is your actual worry here?” Write the stated position and, underneath it, the underlying concern. The gap between the two is the point of this step — the Retail Partner Buyer's stated position is about shelf space, but the real concern is supply reliability.</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Plot all 12 on the grid. </w:t>
            </w:r>
            <w:r>
              <w:rPr>
                <w:sz w:val="19"/>
              </w:rPr>
              <w:t>Place each stakeholder in a quadrant based on power (can they stop or change this decision?) and interest (how much do they care about the outcome?). Where the table disagrees, argue it out — the disagreement is where the learning is.</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Match an engagement approach to each quadrant. </w:t>
            </w:r>
            <w:r>
              <w:rPr>
                <w:sz w:val="19"/>
              </w:rPr>
              <w:t>Assign one approach per quadrant: Manage Closely → co-design; Keep Satisfied → consult; Keep Informed → brief regularly; Monitor → light-touch watch. Then sanity-check each stakeholder: does that approach actually address the underlying concern you recorded earlier?</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Prepare the debrief line. </w:t>
            </w:r>
            <w:r>
              <w:rPr>
                <w:sz w:val="19"/>
              </w:rPr>
              <w:t>Agree one sentence: “The stakeholder we would most easily have under-managed is ____, because ____.” Nominate a spokesperson.</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Brief the scenario and assign the three roles</w:t>
            </w:r>
          </w:p>
        </w:tc>
      </w:tr>
      <w:tr>
        <w:tc>
          <w:tcPr>
            <w:tcW w:type="dxa" w:w="4839"/>
          </w:tcPr>
          <w:p>
            <w:r/>
            <w:r>
              <w:rPr>
                <w:sz w:val="19"/>
              </w:rPr>
              <w:t>7 min</w:t>
            </w:r>
          </w:p>
        </w:tc>
        <w:tc>
          <w:tcPr>
            <w:tcW w:type="dxa" w:w="4839"/>
          </w:tcPr>
          <w:p>
            <w:r/>
            <w:r>
              <w:rPr>
                <w:sz w:val="19"/>
              </w:rPr>
              <w:t>Individually list stakeholders, then pool them at the table</w:t>
            </w:r>
          </w:p>
        </w:tc>
      </w:tr>
      <w:tr>
        <w:tc>
          <w:tcPr>
            <w:tcW w:type="dxa" w:w="4839"/>
          </w:tcPr>
          <w:p>
            <w:r/>
            <w:r>
              <w:rPr>
                <w:sz w:val="19"/>
              </w:rPr>
              <w:t>8 min</w:t>
            </w:r>
          </w:p>
        </w:tc>
        <w:tc>
          <w:tcPr>
            <w:tcW w:type="dxa" w:w="4839"/>
          </w:tcPr>
          <w:p>
            <w:r/>
            <w:r>
              <w:rPr>
                <w:sz w:val="19"/>
              </w:rPr>
              <w:t>Plot each stakeholder on the Power-Interest Grid</w:t>
            </w:r>
          </w:p>
        </w:tc>
      </w:tr>
      <w:tr>
        <w:tc>
          <w:tcPr>
            <w:tcW w:type="dxa" w:w="4839"/>
          </w:tcPr>
          <w:p>
            <w:r/>
            <w:r>
              <w:rPr>
                <w:sz w:val="19"/>
              </w:rPr>
              <w:t>5 min</w:t>
            </w:r>
          </w:p>
        </w:tc>
        <w:tc>
          <w:tcPr>
            <w:tcW w:type="dxa" w:w="4839"/>
          </w:tcPr>
          <w:p>
            <w:r/>
            <w:r>
              <w:rPr>
                <w:sz w:val="19"/>
              </w:rPr>
              <w:t>Agree an engagement approach per quadrant</w:t>
            </w:r>
          </w:p>
        </w:tc>
      </w:tr>
      <w:tr>
        <w:tc>
          <w:tcPr>
            <w:tcW w:type="dxa" w:w="4839"/>
          </w:tcPr>
          <w:p>
            <w:r/>
            <w:r>
              <w:rPr>
                <w:sz w:val="19"/>
              </w:rPr>
              <w:t>2 min</w:t>
            </w:r>
          </w:p>
        </w:tc>
        <w:tc>
          <w:tcPr>
            <w:tcW w:type="dxa" w:w="4839"/>
          </w:tcPr>
          <w:p>
            <w:r/>
            <w:r>
              <w:rPr>
                <w:sz w:val="19"/>
              </w:rPr>
              <w:t>Prepare your one-sentence rationale for the debrief</w:t>
            </w:r>
          </w:p>
        </w:tc>
      </w:tr>
    </w:tbl>
    <w:p>
      <w:r>
        <w:rPr>
          <w:b/>
          <w:sz w:val="19"/>
        </w:rPr>
        <w:t>Total: 25 minutes</w:t>
      </w:r>
    </w:p>
    <w:p>
      <w:pPr>
        <w:pStyle w:val="Heading2"/>
      </w:pPr>
      <w:r>
        <w:t>Discussion &amp; decision prompts</w:t>
      </w:r>
    </w:p>
    <w:p>
      <w:pPr>
        <w:pStyle w:val="ListNumber"/>
      </w:pPr>
      <w:r>
        <w:t>Which 6 internal and 6 external stakeholders matter most to this relaunch decision, and why?</w:t>
      </w:r>
    </w:p>
    <w:p>
      <w:pPr>
        <w:pStyle w:val="ListNumber"/>
      </w:pPr>
      <w:r>
        <w:t>Using the Power-Interest Grid, where does each stakeholder sit — and which quadrant deserves your table's limited attention this month?</w:t>
      </w:r>
    </w:p>
    <w:p>
      <w:pPr>
        <w:pStyle w:val="ListNumber"/>
      </w:pPr>
      <w:r>
        <w:t>What is each stakeholder's real underlying concern, not just their stated position?</w:t>
      </w:r>
    </w:p>
    <w:p>
      <w:pPr>
        <w:pStyle w:val="ListNumber"/>
      </w:pPr>
      <w:r>
        <w:t>What engagement approach — brief, consult or co-design — fits each stakeholder's concern and influence level?</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LU1 — Stakeholders and Organisation.</w:t>
      </w:r>
    </w:p>
    <w:p>
      <w:pPr>
        <w:pStyle w:val="ListBullet"/>
      </w:pPr>
      <w:r>
        <w:t>Remind learners this activity rehearses what the Case Study assessment will require.</w:t>
      </w:r>
    </w:p>
    <w:p>
      <w:r>
        <w:t>Reflection questions:</w:t>
      </w:r>
    </w:p>
    <w:p>
      <w:pPr>
        <w:pStyle w:val="ListBullet"/>
      </w:pPr>
      <w:r>
        <w:t>Which stakeholder's position surprised you once you heard their actual concern instead of assuming it?</w:t>
      </w:r>
    </w:p>
    <w:p>
      <w:pPr>
        <w:pStyle w:val="ListBullet"/>
      </w:pPr>
      <w:r>
        <w:t>Did power and interest always move together on your map, or did a low-power/high-interest voice turn out to be worth listening to anyway?</w:t>
      </w:r>
    </w:p>
    <w:p>
      <w:pPr>
        <w:pStyle w:val="ListBullet"/>
      </w:pPr>
      <w:r>
        <w:t>If the retail partner buyer voiced hesitation publicly tomorrow, how would that change your grid?</w:t>
      </w:r>
    </w:p>
    <w:p>
      <w:pPr>
        <w:pStyle w:val="Heading2"/>
      </w:pPr>
      <w:r>
        <w:t>Facilitator notes — what to watch for</w:t>
      </w:r>
    </w:p>
    <w:p>
      <w:pPr>
        <w:pStyle w:val="ListBullet"/>
      </w:pPr>
      <w:r>
        <w:t>Watch for tables that place every stakeholder in Manage Closely — push them: if everything is a priority, nothing is.</w:t>
      </w:r>
    </w:p>
    <w:p>
      <w:pPr>
        <w:pStyle w:val="ListBullet"/>
      </w:pPr>
      <w:r>
        <w:t>The vocal customer community is the instructive case: high interest, low formal power, but capable of becoming high power overnight through social media.</w:t>
      </w:r>
    </w:p>
    <w:p>
      <w:pPr>
        <w:pStyle w:val="ListBullet"/>
      </w:pPr>
      <w:r>
        <w:t>If a table finishes early, ask them what changes if the retail partner voices hesitation publicly tomorrow.</w:t>
      </w:r>
    </w:p>
    <w:p>
      <w:pPr>
        <w:pStyle w:val="Heading2"/>
      </w:pPr>
      <w:r>
        <w:t>Success criterion</w:t>
      </w:r>
    </w:p>
    <w:p>
      <w:r>
        <w:t>Every group can show a completed Power-Interest map with both internal and external stakeholders placed, and an engagement approach per quadrant that matches the stakeholder's real concern — not just their job title.</w:t>
      </w:r>
    </w:p>
    <w:p>
      <w:pPr>
        <w:pStyle w:val="Heading2"/>
      </w:pPr>
      <w:r>
        <w:t>Assessment link</w:t>
      </w:r>
    </w:p>
    <w:p>
      <w:r>
        <w:t>This activity builds LU1 — Stakeholders and Organisation.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