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2 — CHECKLIST</w:t>
      </w:r>
    </w:p>
    <w:p>
      <w:r>
        <w:rPr>
          <w:b/>
          <w:color w:val="111827"/>
          <w:sz w:val="30"/>
        </w:rPr>
        <w:t>Audience Mapping Workshop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Stakeholders and Organisation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Audience Mapping Workshop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four segments have a distinct key message — no two are interchangeable.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segment has a named primary channel with a written justification.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Emotional vs logical drivers are marked for each segment.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table can point to two segments whose messages genuinely conflict.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priority segment is chosen with a reason tied to relaunch impact.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matrix with a tailored key message and a named primary channel for all four segments, and can explain in one sentence why each message differs from the others.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