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3 — CHECKLIST</w:t>
      </w:r>
    </w:p>
    <w:p>
      <w:r>
        <w:rPr>
          <w:b/>
          <w:color w:val="111827"/>
          <w:sz w:val="30"/>
        </w:rPr>
        <w:t>Brand Attribute Mapping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LU1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LU1 — Stakeholders and Organisation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Brand Attribute Mapping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Three hard attributes, each verifiable with a number or provable statement.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Three soft attributes, each linked by an arrow to the hard attribute causing it.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weakest CBBE level is named with evidence.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One brand concept line is written and connects a hard attribute to a soft one.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All three teams could restate the line consistently.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LU1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3 hard + 3 soft attributes connected to one brand concept line, and can name the CBBE pyramid level the concept is designed to strengthen.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