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78"/>
      </w:tblGrid>
      <w:tr>
        <w:tc>
          <w:tcPr>
            <w:tcW w:type="dxa" w:w="9678"/>
            <w:shd w:val="clear" w:color="auto" w:fill="1F6FEB"/>
          </w:tcPr>
          <w:p>
            <w:r>
              <w:rPr>
                <w:b/>
                <w:color w:val="FFFFFF"/>
                <w:sz w:val="20"/>
              </w:rPr>
              <w:t>Tertiary Infotech Academy Pte Ltd</w:t>
            </w:r>
          </w:p>
          <w:p>
            <w:r>
              <w:rPr>
                <w:color w:val="FFFFFF"/>
                <w:sz w:val="17"/>
              </w:rPr>
              <w:t>Customer-Centric Branding and Communication Tactics  ·  TGS-2026061321</w:t>
            </w:r>
          </w:p>
        </w:tc>
      </w:tr>
    </w:tbl>
    <w:p>
      <w:r>
        <w:rPr>
          <w:b/>
          <w:color w:val="1F6FEB"/>
          <w:sz w:val="24"/>
        </w:rPr>
        <w:t>ACTIVITY 4 — CHECKLIST</w:t>
      </w:r>
    </w:p>
    <w:p>
      <w:r>
        <w:rPr>
          <w:b/>
          <w:color w:val="111827"/>
          <w:sz w:val="30"/>
        </w:rPr>
        <w:t>Digital Reputation Audit Exercise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TYPE</w:t>
            </w:r>
          </w:p>
          <w:p>
            <w:r>
              <w:rPr>
                <w:color w:val="111827"/>
                <w:sz w:val="18"/>
              </w:rPr>
              <w:t>Case Study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DURATION</w:t>
            </w:r>
          </w:p>
          <w:p>
            <w:r>
              <w:rPr>
                <w:color w:val="111827"/>
                <w:sz w:val="18"/>
              </w:rPr>
              <w:t>45 minutes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MAPS TO</w:t>
            </w:r>
          </w:p>
          <w:p>
            <w:r>
              <w:rPr>
                <w:color w:val="111827"/>
                <w:sz w:val="18"/>
              </w:rPr>
              <w:t>LU1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TOPIC</w:t>
            </w:r>
          </w:p>
          <w:p>
            <w:r>
              <w:rPr>
                <w:color w:val="111827"/>
                <w:sz w:val="18"/>
              </w:rPr>
              <w:t>LU1 — Stakeholders and Organisation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39"/>
        <w:gridCol w:w="4839"/>
      </w:tblGrid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4839"/>
          </w:tcPr>
          <w:p>
            <w:r/>
          </w:p>
        </w:tc>
      </w:tr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4839"/>
          </w:tcPr>
          <w:p>
            <w:r/>
          </w:p>
        </w:tc>
      </w:tr>
    </w:tbl>
    <w:p/>
    <w:p>
      <w:pPr>
        <w:pStyle w:val="Heading2"/>
      </w:pPr>
      <w:r>
        <w:t>Self-check — Digital Reputation Audit Exercise</w:t>
      </w:r>
    </w:p>
    <w:p>
      <w:r>
        <w:t>Tick each item you have completed. Any blank is a gap to close before your group presents at the debrief.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Evidences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✓</w:t>
            </w:r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Three platforms named, each with a written justification.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LU1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Sentiment coding rules were agreed before reading any mentions.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LU1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A percentage sentiment breakdown exists for each platform.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LU1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The gap between actual sentiment and the founder's belief is stated explicitly.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LU1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Exactly three themes, each with a specific, owned, time-bound action.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LU1</w:t>
            </w:r>
          </w:p>
        </w:tc>
        <w:tc>
          <w:tcPr>
            <w:tcW w:type="dxa" w:w="2419"/>
          </w:tcPr>
          <w:p>
            <w:r/>
          </w:p>
        </w:tc>
      </w:tr>
    </w:tbl>
    <w:p/>
    <w:p>
      <w:pPr>
        <w:pStyle w:val="Heading2"/>
      </w:pPr>
      <w:r>
        <w:t>Debrief check</w:t>
      </w:r>
    </w:p>
    <w:p>
      <w:r>
        <w:rPr>
          <w:sz w:val="21"/>
        </w:rPr>
        <w:t>Every group can show a platform-by-platform sentiment breakdown, three named recurring themes, and one response action per theme leadership could act on this week.</w:t>
      </w:r>
    </w:p>
    <w:p>
      <w:pPr>
        <w:pStyle w:val="Heading2"/>
      </w:pPr>
      <w:r>
        <w:t>Feedback</w:t>
      </w:r>
    </w:p>
    <w:p>
      <w:r>
        <w:rPr>
          <w:b/>
          <w:sz w:val="20"/>
        </w:rPr>
        <w:t>What did you find hardest in this activity?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What is the ONE thing you will do differently at work?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i/>
          <w:color w:val="555B66"/>
          <w:sz w:val="16"/>
        </w:rPr>
        <w:t>Customer-Centric Branding and Communication Tactics · TGS-2026061321 · Version v8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