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Customer-Centric Branding and Communication Tactics  ·  TGS-2026061321</w:t>
            </w:r>
          </w:p>
        </w:tc>
      </w:tr>
    </w:tbl>
    <w:p>
      <w:r>
        <w:rPr>
          <w:b/>
          <w:color w:val="1F6FEB"/>
          <w:sz w:val="24"/>
        </w:rPr>
        <w:t>ACTIVITY 5 — CHECKLIST</w:t>
      </w:r>
    </w:p>
    <w:p>
      <w:r>
        <w:rPr>
          <w:b/>
          <w:color w:val="111827"/>
          <w:sz w:val="30"/>
        </w:rPr>
        <w:t>Brand Perception Audit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Case Study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25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LU2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LU2 — Customer Influence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Brand Perception Audit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table compares Marketing's stated belief against real customer feedback.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LU2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Every gap is tagged Technical Quality or Value Quality.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LU2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table can explain how reply times improved while perception worsened.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LU2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Three gaps are ranked by urgency, with a reason for the ordering.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LU2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Each gap has an observable definition of 'closed' and a named owning team.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LU2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group can show a gap-analysis table comparing Marketing's internal belief against real customer feedback, with the top 3 perception gaps ranked and one concrete action proposed for each.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Customer-Centric Branding and Communication Tactics · TGS-2026061321 · Version v8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