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5 — FACILITATOR GUIDE</w:t>
      </w:r>
    </w:p>
    <w:p>
      <w:r>
        <w:rPr>
          <w:b/>
          <w:color w:val="111827"/>
          <w:sz w:val="30"/>
        </w:rPr>
        <w:t>Brand Perception Audit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p>
      <w:pPr>
        <w:pStyle w:val="Heading2"/>
      </w:pPr>
      <w:r>
        <w:t>Purpose of this activity</w:t>
      </w:r>
    </w:p>
    <w:p>
      <w:r>
        <w:t>By the end of this activity learners will be able to assess customer perceptions of the brand, products and services (LU2).</w:t>
      </w:r>
    </w:p>
    <w:p>
      <w:pPr>
        <w:pStyle w:val="Heading2"/>
      </w:pPr>
      <w:r>
        <w:t>What learners produce</w:t>
      </w:r>
    </w:p>
    <w:p>
      <w:r>
        <w:t>A perception-gap table: Marketing's internal belief vs actual customer feedback, with the top 3 gaps ranked, classified and owned.</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Activity 4 reputation audit surfaced one theme again and again: customers say Nimbus Wellness "doesn't feel personal anymore." Marketing's official position is that nothing has changed — the formulas, ingredients and packaging are exactly what they were a year ago. If the product itself hasn't moved, something else has.</w:t>
      </w:r>
    </w:p>
    <w:p>
      <w:r>
        <w:t>A closer look at Customer Service's own numbers hints at where: average reply time has improved since two outlets added self-checkout kiosks and the contact-centre adopted faster chat macros. The technical quality — what the product does — looks unchanged on paper. But the value quality — how it feels to deal with Nimbus — may have quietly slipped underneath the metrics leadership actually tracks.</w:t>
      </w:r>
    </w:p>
    <w:p>
      <w:r>
        <w:t>Before the founder locks the relaunch brief, your table must compare what Marketing believes against what a sample of real customer feedback actually says, and turn the difference into a short, prioritised gap list leadership can act on this week.</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Set up the comparison. </w:t>
            </w:r>
            <w:r>
              <w:rPr>
                <w:sz w:val="19"/>
              </w:rPr>
              <w:t>Three columns: What Marketing believes | What customers actually say | The gap. Carry your Activity 4 themes straight into the middle column — this activity builds directly on that evidence rather than starting fresh.</w:t>
            </w:r>
          </w:p>
        </w:tc>
        <w:tc>
          <w:tcPr>
            <w:tcW w:type="dxa" w:w="3226"/>
          </w:tcPr>
          <w:p>
            <w:r/>
            <w:r>
              <w:rPr>
                <w:sz w:val="18"/>
              </w:rPr>
              <w:t>The self-checkout kiosks and chat macros are the planted clue — if no table spots that efficiency gains caused the personalisation loss, surface it in the debrief.</w:t>
            </w:r>
          </w:p>
        </w:tc>
      </w:tr>
      <w:tr>
        <w:tc>
          <w:tcPr>
            <w:tcW w:type="dxa" w:w="3226"/>
            <w:shd w:val="clear" w:color="auto" w:fill="F5F8FC"/>
          </w:tcPr>
          <w:p>
            <w:r/>
            <w:r>
              <w:rPr>
                <w:sz w:val="19"/>
              </w:rPr>
              <w:t>2</w:t>
            </w:r>
          </w:p>
        </w:tc>
        <w:tc>
          <w:tcPr>
            <w:tcW w:type="dxa" w:w="3226"/>
            <w:shd w:val="clear" w:color="auto" w:fill="F5F8FC"/>
          </w:tcPr>
          <w:p>
            <w:r/>
            <w:r>
              <w:rPr>
                <w:b/>
                <w:sz w:val="19"/>
              </w:rPr>
              <w:t xml:space="preserve">State Marketing's position precisely. </w:t>
            </w:r>
            <w:r>
              <w:rPr>
                <w:sz w:val="19"/>
              </w:rPr>
              <w:t>Write Marketing's claim as they would defend it: formulas, ingredients and packaging are unchanged from a year ago. Note that this is a claim about the PRODUCT, and hold on to that — it is the crux of the whole activity.</w:t>
            </w:r>
          </w:p>
        </w:tc>
        <w:tc>
          <w:tcPr>
            <w:tcW w:type="dxa" w:w="3226"/>
            <w:shd w:val="clear" w:color="auto" w:fill="F5F8FC"/>
          </w:tcPr>
          <w:p>
            <w:r/>
            <w:r>
              <w:rPr>
                <w:sz w:val="18"/>
              </w:rPr>
              <w:t>Push back on 'improve communication' as an action; require something observable.</w:t>
            </w:r>
          </w:p>
        </w:tc>
      </w:tr>
      <w:tr>
        <w:tc>
          <w:tcPr>
            <w:tcW w:type="dxa" w:w="3226"/>
          </w:tcPr>
          <w:p>
            <w:r/>
            <w:r>
              <w:rPr>
                <w:sz w:val="19"/>
              </w:rPr>
              <w:t>3</w:t>
            </w:r>
          </w:p>
        </w:tc>
        <w:tc>
          <w:tcPr>
            <w:tcW w:type="dxa" w:w="3226"/>
          </w:tcPr>
          <w:p>
            <w:r/>
            <w:r>
              <w:rPr>
                <w:b/>
                <w:sz w:val="19"/>
              </w:rPr>
              <w:t xml:space="preserve">Separate technical quality from value quality. </w:t>
            </w:r>
            <w:r>
              <w:rPr>
                <w:sz w:val="19"/>
              </w:rPr>
              <w:t>Define the two before you classify anything. Technical Quality = what the product does, objectively measurable. Value Quality = how it feels to deal with the brand. Marketing's evidence covers only the first.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Classify each gap. </w:t>
            </w:r>
            <w:r>
              <w:rPr>
                <w:sz w:val="19"/>
              </w:rPr>
              <w:t>Take each gap in your table and tag it Technical or Value. Expect most to land in Value Quality — that is the finding. Where a gap looks technical, ask whether the customer is really describing the product or the experience of buying it.</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Interrogate the improving metrics. </w:t>
            </w:r>
            <w:r>
              <w:rPr>
                <w:sz w:val="19"/>
              </w:rPr>
              <w:t>Customer Service's reply times have IMPROVED, yet perception has worsened. Discuss at your table how that is possible. The answer — faster macros made replies quicker but less personal — is the single most important insight of this activity: a metric can improve while the experience it was meant to measure degrades.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Rank the top three gaps. </w:t>
            </w:r>
            <w:r>
              <w:rPr>
                <w:sz w:val="19"/>
              </w:rPr>
              <w:t>Order by urgency before the relaunch brief is locked. Rank on impact to the relaunch, not on how easy the gap is to fix.</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Define 'closed' and assign an owner. </w:t>
            </w:r>
            <w:r>
              <w:rPr>
                <w:sz w:val="19"/>
              </w:rPr>
              <w:t>For each of the three, write what closed actually looks like in observable terms, and name the team that owns it. If you cannot describe how you would recognise 'closed', the gap is stated too vaguely — rewrite it.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Recap the Activity 4 findings and Marketing's official position</w:t>
            </w:r>
          </w:p>
        </w:tc>
      </w:tr>
      <w:tr>
        <w:tc>
          <w:tcPr>
            <w:tcW w:type="dxa" w:w="4839"/>
          </w:tcPr>
          <w:p>
            <w:r/>
            <w:r>
              <w:rPr>
                <w:sz w:val="19"/>
              </w:rPr>
              <w:t>7 min</w:t>
            </w:r>
          </w:p>
        </w:tc>
        <w:tc>
          <w:tcPr>
            <w:tcW w:type="dxa" w:w="4839"/>
          </w:tcPr>
          <w:p>
            <w:r/>
            <w:r>
              <w:rPr>
                <w:sz w:val="19"/>
              </w:rPr>
              <w:t>Build the two-column belief-vs-evidence table</w:t>
            </w:r>
          </w:p>
        </w:tc>
      </w:tr>
      <w:tr>
        <w:tc>
          <w:tcPr>
            <w:tcW w:type="dxa" w:w="4839"/>
          </w:tcPr>
          <w:p>
            <w:r/>
            <w:r>
              <w:rPr>
                <w:sz w:val="19"/>
              </w:rPr>
              <w:t>6 min</w:t>
            </w:r>
          </w:p>
        </w:tc>
        <w:tc>
          <w:tcPr>
            <w:tcW w:type="dxa" w:w="4839"/>
          </w:tcPr>
          <w:p>
            <w:r/>
            <w:r>
              <w:rPr>
                <w:sz w:val="19"/>
              </w:rPr>
              <w:t>Classify each gap as Technical or Value Quality</w:t>
            </w:r>
          </w:p>
        </w:tc>
      </w:tr>
      <w:tr>
        <w:tc>
          <w:tcPr>
            <w:tcW w:type="dxa" w:w="4839"/>
          </w:tcPr>
          <w:p>
            <w:r/>
            <w:r>
              <w:rPr>
                <w:sz w:val="19"/>
              </w:rPr>
              <w:t>6 min</w:t>
            </w:r>
          </w:p>
        </w:tc>
        <w:tc>
          <w:tcPr>
            <w:tcW w:type="dxa" w:w="4839"/>
          </w:tcPr>
          <w:p>
            <w:r/>
            <w:r>
              <w:rPr>
                <w:sz w:val="19"/>
              </w:rPr>
              <w:t>Rank the top 3 gaps and assign an owner</w:t>
            </w:r>
          </w:p>
        </w:tc>
      </w:tr>
      <w:tr>
        <w:tc>
          <w:tcPr>
            <w:tcW w:type="dxa" w:w="4839"/>
          </w:tcPr>
          <w:p>
            <w:r/>
            <w:r>
              <w:rPr>
                <w:sz w:val="19"/>
              </w:rPr>
              <w:t>3 min</w:t>
            </w:r>
          </w:p>
        </w:tc>
        <w:tc>
          <w:tcPr>
            <w:tcW w:type="dxa" w:w="4839"/>
          </w:tcPr>
          <w:p>
            <w:r/>
            <w:r>
              <w:rPr>
                <w:sz w:val="19"/>
              </w:rPr>
              <w:t>Define what 'closed' looks like for the most urgent gap</w:t>
            </w:r>
          </w:p>
        </w:tc>
      </w:tr>
    </w:tbl>
    <w:p>
      <w:r>
        <w:rPr>
          <w:b/>
          <w:sz w:val="19"/>
        </w:rPr>
        <w:t>Total: 25 minutes</w:t>
      </w:r>
    </w:p>
    <w:p>
      <w:pPr>
        <w:pStyle w:val="Heading2"/>
      </w:pPr>
      <w:r>
        <w:t>Discussion &amp; decision prompts</w:t>
      </w:r>
    </w:p>
    <w:p>
      <w:pPr>
        <w:pStyle w:val="ListNumber"/>
      </w:pPr>
      <w:r>
        <w:t>Looking at the Activity 4 findings alongside what Marketing believes internally, where exactly does customer perception diverge from the company's own view of itself?</w:t>
      </w:r>
    </w:p>
    <w:p>
      <w:pPr>
        <w:pStyle w:val="ListNumber"/>
      </w:pPr>
      <w:r>
        <w:t>Is the drift really in Technical Quality (the product itself) or in Value Quality (the experience around it) — and what evidence from the audit supports that?</w:t>
      </w:r>
    </w:p>
    <w:p>
      <w:pPr>
        <w:pStyle w:val="ListNumber"/>
      </w:pPr>
      <w:r>
        <w:t>What are the top 3 perception gaps your table would put in front of the founder, and which one is most urgent to close before the relaunch brief is finalised?</w:t>
      </w:r>
    </w:p>
    <w:p>
      <w:pPr>
        <w:pStyle w:val="ListNumber"/>
      </w:pPr>
      <w:r>
        <w:t>For each gap, what would "closed" actually look like, and which team would need to own fixing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LU2 — Customer Influence.</w:t>
      </w:r>
    </w:p>
    <w:p>
      <w:pPr>
        <w:pStyle w:val="ListBullet"/>
      </w:pPr>
      <w:r>
        <w:t>Remind learners this activity rehearses what the Case Study assessment will require.</w:t>
      </w:r>
    </w:p>
    <w:p>
      <w:r>
        <w:t>Reflection questions:</w:t>
      </w:r>
    </w:p>
    <w:p>
      <w:pPr>
        <w:pStyle w:val="ListBullet"/>
      </w:pPr>
      <w:r>
        <w:t>Did your table's top gap turn out to be about the product itself, or about how people are treated when they interact with the brand?</w:t>
      </w:r>
    </w:p>
    <w:p>
      <w:pPr>
        <w:pStyle w:val="ListBullet"/>
      </w:pPr>
      <w:r>
        <w:t>Was there a gap the data supported that still felt uncomfortable to put in front of the founder — and why?</w:t>
      </w:r>
    </w:p>
    <w:p>
      <w:pPr>
        <w:pStyle w:val="ListBullet"/>
      </w:pPr>
      <w:r>
        <w:t>If Marketing pushed back and insisted the product is the whole story, what evidence would you point to first?</w:t>
      </w:r>
    </w:p>
    <w:p>
      <w:pPr>
        <w:pStyle w:val="Heading2"/>
      </w:pPr>
      <w:r>
        <w:t>Facilitator notes — what to watch for</w:t>
      </w:r>
    </w:p>
    <w:p>
      <w:pPr>
        <w:pStyle w:val="ListBullet"/>
      </w:pPr>
      <w:r>
        <w:t>The self-checkout kiosks and chat macros are the planted clue — if no table spots that efficiency gains caused the personalisation loss, surface it in the debrief.</w:t>
      </w:r>
    </w:p>
    <w:p>
      <w:pPr>
        <w:pStyle w:val="ListBullet"/>
      </w:pPr>
      <w:r>
        <w:t>Push back on 'improve communication' as an action; require something observable.</w:t>
      </w:r>
    </w:p>
    <w:p>
      <w:pPr>
        <w:pStyle w:val="Heading2"/>
      </w:pPr>
      <w:r>
        <w:t>Success criterion</w:t>
      </w:r>
    </w:p>
    <w:p>
      <w:r>
        <w:t>Every group can show a gap-analysis table comparing Marketing's internal belief against real customer feedback, with the top 3 perception gaps ranked and one concrete action proposed for each.</w:t>
      </w:r>
    </w:p>
    <w:p>
      <w:pPr>
        <w:pStyle w:val="Heading2"/>
      </w:pPr>
      <w:r>
        <w:t>Assessment link</w:t>
      </w:r>
    </w:p>
    <w:p>
      <w:r>
        <w:t>This activity builds LU2 — Customer Influence.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