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Customer-Centric Branding and Communication Tactics  ·  TGS-2026061321</w:t>
            </w:r>
          </w:p>
        </w:tc>
      </w:tr>
    </w:tbl>
    <w:p>
      <w:r>
        <w:rPr>
          <w:b/>
          <w:color w:val="1F6FEB"/>
          <w:sz w:val="24"/>
        </w:rPr>
        <w:t>ACTIVITY 6 — CHECKLIST</w:t>
      </w:r>
    </w:p>
    <w:p>
      <w:r>
        <w:rPr>
          <w:b/>
          <w:color w:val="111827"/>
          <w:sz w:val="30"/>
        </w:rPr>
        <w:t>Brand Advocacy Assessment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Case Study</w:t>
            </w:r>
          </w:p>
        </w:tc>
        <w:tc>
          <w:tcPr>
            <w:tcW w:type="dxa" w:w="2419"/>
            <w:shd w:val="clear" w:color="auto" w:fill="F5F8FC"/>
          </w:tcPr>
          <w:p>
            <w:r>
              <w:rPr>
                <w:b/>
                <w:color w:val="1F6FEB"/>
                <w:sz w:val="15"/>
              </w:rPr>
              <w:t>DURATION</w:t>
            </w:r>
          </w:p>
          <w:p>
            <w:r>
              <w:rPr>
                <w:color w:val="111827"/>
                <w:sz w:val="18"/>
              </w:rPr>
              <w:t>25 minutes</w:t>
            </w:r>
          </w:p>
        </w:tc>
        <w:tc>
          <w:tcPr>
            <w:tcW w:type="dxa" w:w="2419"/>
            <w:shd w:val="clear" w:color="auto" w:fill="F5F8FC"/>
          </w:tcPr>
          <w:p>
            <w:r>
              <w:rPr>
                <w:b/>
                <w:color w:val="1F6FEB"/>
                <w:sz w:val="15"/>
              </w:rPr>
              <w:t>MAPS TO</w:t>
            </w:r>
          </w:p>
          <w:p>
            <w:r>
              <w:rPr>
                <w:color w:val="111827"/>
                <w:sz w:val="18"/>
              </w:rPr>
              <w:t>LU2</w:t>
            </w:r>
          </w:p>
        </w:tc>
        <w:tc>
          <w:tcPr>
            <w:tcW w:type="dxa" w:w="2419"/>
            <w:shd w:val="clear" w:color="auto" w:fill="F5F8FC"/>
          </w:tcPr>
          <w:p>
            <w:r>
              <w:rPr>
                <w:b/>
                <w:color w:val="1F6FEB"/>
                <w:sz w:val="15"/>
              </w:rPr>
              <w:t>TOPIC</w:t>
            </w:r>
          </w:p>
          <w:p>
            <w:r>
              <w:rPr>
                <w:color w:val="111827"/>
                <w:sz w:val="18"/>
              </w:rPr>
              <w:t>LU2 — Customer Influence</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Self-check — Brand Advocacy Assessment</w:t>
      </w:r>
    </w:p>
    <w:p>
      <w:r>
        <w:t>Tick each item you have completed. Any blank is a gap to close before your group presents at the debrief.</w:t>
      </w:r>
    </w:p>
    <w:tbl>
      <w:tblPr>
        <w:tblStyle w:val="TableGrid"/>
        <w:tblW w:type="auto" w:w="0"/>
        <w:tblLook w:firstColumn="1" w:firstRow="1" w:lastColumn="0" w:lastRow="0" w:noHBand="0" w:noVBand="1" w:val="04A0"/>
      </w:tblPr>
      <w:tblGrid>
        <w:gridCol w:w="2419"/>
        <w:gridCol w:w="2419"/>
        <w:gridCol w:w="2419"/>
        <w:gridCol w:w="2419"/>
      </w:tblGrid>
      <w:tr>
        <w:tc>
          <w:tcPr>
            <w:tcW w:type="dxa" w:w="2419"/>
            <w:shd w:val="clear" w:color="auto" w:fill="1F6FEB"/>
          </w:tcPr>
          <w:p>
            <w:r/>
            <w:r>
              <w:rPr>
                <w:b/>
                <w:color w:val="FFFFFF"/>
                <w:sz w:val="19"/>
              </w:rPr>
              <w:t>#</w:t>
            </w:r>
          </w:p>
        </w:tc>
        <w:tc>
          <w:tcPr>
            <w:tcW w:type="dxa" w:w="2419"/>
            <w:shd w:val="clear" w:color="auto" w:fill="1F6FEB"/>
          </w:tcPr>
          <w:p>
            <w:r/>
            <w:r>
              <w:rPr>
                <w:b/>
                <w:color w:val="FFFFFF"/>
                <w:sz w:val="19"/>
              </w:rPr>
              <w:t>Criterion</w:t>
            </w:r>
          </w:p>
        </w:tc>
        <w:tc>
          <w:tcPr>
            <w:tcW w:type="dxa" w:w="2419"/>
            <w:shd w:val="clear" w:color="auto" w:fill="1F6FEB"/>
          </w:tcPr>
          <w:p>
            <w:r/>
            <w:r>
              <w:rPr>
                <w:b/>
                <w:color w:val="FFFFFF"/>
                <w:sz w:val="19"/>
              </w:rPr>
              <w:t>Evidences</w:t>
            </w:r>
          </w:p>
        </w:tc>
        <w:tc>
          <w:tcPr>
            <w:tcW w:type="dxa" w:w="2419"/>
            <w:shd w:val="clear" w:color="auto" w:fill="1F6FEB"/>
          </w:tcPr>
          <w:p>
            <w:r/>
            <w:r>
              <w:rPr>
                <w:b/>
                <w:color w:val="FFFFFF"/>
                <w:sz w:val="19"/>
              </w:rPr>
              <w:t>✓</w:t>
            </w:r>
          </w:p>
        </w:tc>
      </w:tr>
      <w:tr>
        <w:tc>
          <w:tcPr>
            <w:tcW w:type="dxa" w:w="2419"/>
          </w:tcPr>
          <w:p>
            <w:r/>
            <w:r>
              <w:rPr>
                <w:sz w:val="19"/>
              </w:rPr>
              <w:t>1</w:t>
            </w:r>
          </w:p>
        </w:tc>
        <w:tc>
          <w:tcPr>
            <w:tcW w:type="dxa" w:w="2419"/>
          </w:tcPr>
          <w:p>
            <w:r/>
            <w:r>
              <w:rPr>
                <w:sz w:val="19"/>
              </w:rPr>
              <w:t>An evidence-based test distinguishes advocates from merely satisfied customers.</w:t>
            </w:r>
          </w:p>
        </w:tc>
        <w:tc>
          <w:tcPr>
            <w:tcW w:type="dxa" w:w="2419"/>
          </w:tcPr>
          <w:p>
            <w:r/>
            <w:r>
              <w:rPr>
                <w:sz w:val="19"/>
              </w:rPr>
              <w:t>LU2</w:t>
            </w:r>
          </w:p>
        </w:tc>
        <w:tc>
          <w:tcPr>
            <w:tcW w:type="dxa" w:w="2419"/>
          </w:tcPr>
          <w:p>
            <w:r/>
          </w:p>
        </w:tc>
      </w:tr>
      <w:tr>
        <w:tc>
          <w:tcPr>
            <w:tcW w:type="dxa" w:w="2419"/>
            <w:shd w:val="clear" w:color="auto" w:fill="F5F8FC"/>
          </w:tcPr>
          <w:p>
            <w:r/>
            <w:r>
              <w:rPr>
                <w:sz w:val="19"/>
              </w:rPr>
              <w:t>2</w:t>
            </w:r>
          </w:p>
        </w:tc>
        <w:tc>
          <w:tcPr>
            <w:tcW w:type="dxa" w:w="2419"/>
            <w:shd w:val="clear" w:color="auto" w:fill="F5F8FC"/>
          </w:tcPr>
          <w:p>
            <w:r/>
            <w:r>
              <w:rPr>
                <w:sz w:val="19"/>
              </w:rPr>
              <w:t>Feedback is sorted into advocates / on-the-fence / critics with evidence recorded.</w:t>
            </w:r>
          </w:p>
        </w:tc>
        <w:tc>
          <w:tcPr>
            <w:tcW w:type="dxa" w:w="2419"/>
            <w:shd w:val="clear" w:color="auto" w:fill="F5F8FC"/>
          </w:tcPr>
          <w:p>
            <w:r/>
            <w:r>
              <w:rPr>
                <w:sz w:val="19"/>
              </w:rPr>
              <w:t>LU2</w:t>
            </w:r>
          </w:p>
        </w:tc>
        <w:tc>
          <w:tcPr>
            <w:tcW w:type="dxa" w:w="2419"/>
            <w:shd w:val="clear" w:color="auto" w:fill="F5F8FC"/>
          </w:tcPr>
          <w:p>
            <w:r/>
          </w:p>
        </w:tc>
      </w:tr>
      <w:tr>
        <w:tc>
          <w:tcPr>
            <w:tcW w:type="dxa" w:w="2419"/>
          </w:tcPr>
          <w:p>
            <w:r/>
            <w:r>
              <w:rPr>
                <w:sz w:val="19"/>
              </w:rPr>
              <w:t>3</w:t>
            </w:r>
          </w:p>
        </w:tc>
        <w:tc>
          <w:tcPr>
            <w:tcW w:type="dxa" w:w="2419"/>
          </w:tcPr>
          <w:p>
            <w:r/>
            <w:r>
              <w:rPr>
                <w:sz w:val="19"/>
              </w:rPr>
              <w:t>The break point in the Advocacy Loop is named.</w:t>
            </w:r>
          </w:p>
        </w:tc>
        <w:tc>
          <w:tcPr>
            <w:tcW w:type="dxa" w:w="2419"/>
          </w:tcPr>
          <w:p>
            <w:r/>
            <w:r>
              <w:rPr>
                <w:sz w:val="19"/>
              </w:rPr>
              <w:t>LU2</w:t>
            </w:r>
          </w:p>
        </w:tc>
        <w:tc>
          <w:tcPr>
            <w:tcW w:type="dxa" w:w="2419"/>
          </w:tcPr>
          <w:p>
            <w:r/>
          </w:p>
        </w:tc>
      </w:tr>
      <w:tr>
        <w:tc>
          <w:tcPr>
            <w:tcW w:type="dxa" w:w="2419"/>
            <w:shd w:val="clear" w:color="auto" w:fill="F5F8FC"/>
          </w:tcPr>
          <w:p>
            <w:r/>
            <w:r>
              <w:rPr>
                <w:sz w:val="19"/>
              </w:rPr>
              <w:t>4</w:t>
            </w:r>
          </w:p>
        </w:tc>
        <w:tc>
          <w:tcPr>
            <w:tcW w:type="dxa" w:w="2419"/>
            <w:shd w:val="clear" w:color="auto" w:fill="F5F8FC"/>
          </w:tcPr>
          <w:p>
            <w:r/>
            <w:r>
              <w:rPr>
                <w:sz w:val="19"/>
              </w:rPr>
              <w:t>There is a specific ask AND a reciprocal offer that is not a discount.</w:t>
            </w:r>
          </w:p>
        </w:tc>
        <w:tc>
          <w:tcPr>
            <w:tcW w:type="dxa" w:w="2419"/>
            <w:shd w:val="clear" w:color="auto" w:fill="F5F8FC"/>
          </w:tcPr>
          <w:p>
            <w:r/>
            <w:r>
              <w:rPr>
                <w:sz w:val="19"/>
              </w:rPr>
              <w:t>LU2</w:t>
            </w:r>
          </w:p>
        </w:tc>
        <w:tc>
          <w:tcPr>
            <w:tcW w:type="dxa" w:w="2419"/>
            <w:shd w:val="clear" w:color="auto" w:fill="F5F8FC"/>
          </w:tcPr>
          <w:p>
            <w:r/>
          </w:p>
        </w:tc>
      </w:tr>
      <w:tr>
        <w:tc>
          <w:tcPr>
            <w:tcW w:type="dxa" w:w="2419"/>
          </w:tcPr>
          <w:p>
            <w:r/>
            <w:r>
              <w:rPr>
                <w:sz w:val="19"/>
              </w:rPr>
              <w:t>5</w:t>
            </w:r>
          </w:p>
        </w:tc>
        <w:tc>
          <w:tcPr>
            <w:tcW w:type="dxa" w:w="2419"/>
          </w:tcPr>
          <w:p>
            <w:r/>
            <w:r>
              <w:rPr>
                <w:sz w:val="19"/>
              </w:rPr>
              <w:t>A safeguard exists for an advocate having a bad experience mid-campaign.</w:t>
            </w:r>
          </w:p>
        </w:tc>
        <w:tc>
          <w:tcPr>
            <w:tcW w:type="dxa" w:w="2419"/>
          </w:tcPr>
          <w:p>
            <w:r/>
            <w:r>
              <w:rPr>
                <w:sz w:val="19"/>
              </w:rPr>
              <w:t>LU2</w:t>
            </w:r>
          </w:p>
        </w:tc>
        <w:tc>
          <w:tcPr>
            <w:tcW w:type="dxa" w:w="2419"/>
          </w:tcPr>
          <w:p>
            <w:r/>
          </w:p>
        </w:tc>
      </w:tr>
      <w:tr>
        <w:tc>
          <w:tcPr>
            <w:tcW w:type="dxa" w:w="2419"/>
            <w:shd w:val="clear" w:color="auto" w:fill="F5F8FC"/>
          </w:tcPr>
          <w:p>
            <w:r/>
            <w:r>
              <w:rPr>
                <w:sz w:val="19"/>
              </w:rPr>
              <w:t>6</w:t>
            </w:r>
          </w:p>
        </w:tc>
        <w:tc>
          <w:tcPr>
            <w:tcW w:type="dxa" w:w="2419"/>
            <w:shd w:val="clear" w:color="auto" w:fill="F5F8FC"/>
          </w:tcPr>
          <w:p>
            <w:r/>
            <w:r>
              <w:rPr>
                <w:sz w:val="19"/>
              </w:rPr>
              <w:t>At least two metrics, each with a tracking method and an owner.</w:t>
            </w:r>
          </w:p>
        </w:tc>
        <w:tc>
          <w:tcPr>
            <w:tcW w:type="dxa" w:w="2419"/>
            <w:shd w:val="clear" w:color="auto" w:fill="F5F8FC"/>
          </w:tcPr>
          <w:p>
            <w:r/>
            <w:r>
              <w:rPr>
                <w:sz w:val="19"/>
              </w:rPr>
              <w:t>LU2</w:t>
            </w:r>
          </w:p>
        </w:tc>
        <w:tc>
          <w:tcPr>
            <w:tcW w:type="dxa" w:w="2419"/>
            <w:shd w:val="clear" w:color="auto" w:fill="F5F8FC"/>
          </w:tcPr>
          <w:p>
            <w:r/>
          </w:p>
        </w:tc>
      </w:tr>
    </w:tbl>
    <w:p/>
    <w:p>
      <w:pPr>
        <w:pStyle w:val="Heading2"/>
      </w:pPr>
      <w:r>
        <w:t>Debrief check</w:t>
      </w:r>
    </w:p>
    <w:p>
      <w:r>
        <w:rPr>
          <w:sz w:val="21"/>
        </w:rPr>
        <w:t>Every group can show an advocacy strategy mapped onto the Advocacy Loop, naming which customers to engage, what stage of the loop it strengthens, and at least one target metric with how it will be tracked.</w:t>
      </w:r>
    </w:p>
    <w:p>
      <w:pPr>
        <w:pStyle w:val="Heading2"/>
      </w:pPr>
      <w:r>
        <w:t>Feedback</w:t>
      </w:r>
    </w:p>
    <w:p>
      <w:r>
        <w:rPr>
          <w:b/>
          <w:sz w:val="20"/>
        </w:rPr>
        <w:t>What did you find hardest in this activity?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What is the ONE thing you will do differently at work?</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i/>
          <w:color w:val="555B66"/>
          <w:sz w:val="16"/>
        </w:rPr>
        <w:t>Customer-Centric Branding and Communication Tactics · TGS-2026061321 · Version v8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