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7 — CHECKLIST</w:t>
      </w:r>
    </w:p>
    <w:p>
      <w:r>
        <w:rPr>
          <w:b/>
          <w:color w:val="111827"/>
          <w:sz w:val="30"/>
        </w:rPr>
        <w:t>Campaign Documentation Audit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Case Study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25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LU2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LU2 — Customer Influence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Campaign Documentation Audit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All four pilot elements are sorted into PESO with the boosted post correctly Paid.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LU2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Each PESO category has at least one reception metric, not just a volume metric.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LU2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Missing data is explicitly flagged rather than glossed over.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LU2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effort-vs-reception mismatch is identified.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LU2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framework names fields, an owner, a cadence and a storage location.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LU2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show a PESO-sorted reception report for the pilot campaign with at least one metric per media type, the gaps in current data called out honestly, and a reusable documentation framework for the full relaunch.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