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9 — CHECKLIST</w:t>
      </w:r>
    </w:p>
    <w:p>
      <w:r>
        <w:rPr>
          <w:b/>
          <w:color w:val="111827"/>
          <w:sz w:val="30"/>
        </w:rPr>
        <w:t>Brand Audit Workshop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LU3 — Branding in Marketing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Brand Audit Workshop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approved brand concept line is on the page and every rule traces back to it.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Visual identity covers logo, colour and typography at specification level.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Values are specific enough that a competitor could not claim the opposite.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voice is described with adjective/opposite pairs.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One concrete do/don't pair addresses the founder's observed inconsistency.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roadmap names what, who and in what order.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one-page brand-guidelines draft — visual identity spec, brand values, a voice description with an example, and at least one concrete usage do/don't — that Retail, Marketing and Customer Service could each apply without further clarification.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