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9 — FACILITATOR GUIDE</w:t>
      </w:r>
    </w:p>
    <w:p>
      <w:r>
        <w:rPr>
          <w:b/>
          <w:color w:val="111827"/>
          <w:sz w:val="30"/>
        </w:rPr>
        <w:t>Brand Audit Workshop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Branding in Marketing</w:t>
            </w:r>
          </w:p>
        </w:tc>
      </w:tr>
    </w:tbl>
    <w:p/>
    <w:p>
      <w:pPr>
        <w:pStyle w:val="Heading2"/>
      </w:pPr>
      <w:r>
        <w:t>Purpose of this activity</w:t>
      </w:r>
    </w:p>
    <w:p>
      <w:r>
        <w:t>By the end of this activity learners will be able to explain the basics of branding (LU3).</w:t>
      </w:r>
    </w:p>
    <w:p>
      <w:pPr>
        <w:pStyle w:val="Heading2"/>
      </w:pPr>
      <w:r>
        <w:t>What learners produce</w:t>
      </w:r>
    </w:p>
    <w:p>
      <w:r>
        <w:t>A one-page brand-guidelines draft: visual identity, values, voice with an example, one do/don't pair, and an implementation roadmap.</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Nimbus Wellness now has an approved brand concept line from the LU1 attribute-mapping work — but the founder has noticed that the website, the in-store signage and the Instagram bio still each describe the brand slightly differently. Nothing has actually been written down as a standard.</w:t>
      </w:r>
    </w:p>
    <w:p>
      <w:r>
        <w:t>With the 5th-anniversary relaunch three months away, the founder wants one brand-guidelines document that Retail, Marketing and Customer Service can all point to — before a single relaunch asset (banner, caption, staff script) gets produced.</w:t>
      </w:r>
    </w:p>
    <w:p>
      <w:r>
        <w:t>Your table has been asked to draft that guidelines document from the brand concept line Nimbus already approved.</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Start from the approved concept line. </w:t>
            </w:r>
            <w:r>
              <w:rPr>
                <w:sz w:val="19"/>
              </w:rPr>
              <w:t>Write the brand concept line from Activity 3 at the top of the page. Every specification that follows must protect that line — if a rule does not, it does not belong in the guidelines.</w:t>
            </w:r>
          </w:p>
        </w:tc>
        <w:tc>
          <w:tcPr>
            <w:tcW w:type="dxa" w:w="3226"/>
          </w:tcPr>
          <w:p>
            <w:r/>
            <w:r>
              <w:rPr>
                <w:sz w:val="18"/>
              </w:rPr>
              <w:t>Tables tend to over-invest in colour palettes and under-invest in voice — voice is what Customer Service actually needs to do their job.</w:t>
            </w:r>
          </w:p>
        </w:tc>
      </w:tr>
      <w:tr>
        <w:tc>
          <w:tcPr>
            <w:tcW w:type="dxa" w:w="3226"/>
            <w:shd w:val="clear" w:color="auto" w:fill="F5F8FC"/>
          </w:tcPr>
          <w:p>
            <w:r/>
            <w:r>
              <w:rPr>
                <w:sz w:val="19"/>
              </w:rPr>
              <w:t>2</w:t>
            </w:r>
          </w:p>
        </w:tc>
        <w:tc>
          <w:tcPr>
            <w:tcW w:type="dxa" w:w="3226"/>
            <w:shd w:val="clear" w:color="auto" w:fill="F5F8FC"/>
          </w:tcPr>
          <w:p>
            <w:r/>
            <w:r>
              <w:rPr>
                <w:b/>
                <w:sz w:val="19"/>
              </w:rPr>
              <w:t xml:space="preserve">Specify the visual identity. </w:t>
            </w:r>
            <w:r>
              <w:rPr>
                <w:sz w:val="19"/>
              </w:rPr>
              <w:t>Cover logo usage (minimum size, clear space, what is forbidden), colour palette (primary and secondary, with where each is used), and typography (heading and body faces, and the hierarchy). Write specifications a designer could follow without asking a follow-up question.</w:t>
            </w:r>
          </w:p>
        </w:tc>
        <w:tc>
          <w:tcPr>
            <w:tcW w:type="dxa" w:w="3226"/>
            <w:shd w:val="clear" w:color="auto" w:fill="F5F8FC"/>
          </w:tcPr>
          <w:p>
            <w:r/>
            <w:r>
              <w:rPr>
                <w:sz w:val="18"/>
              </w:rPr>
              <w:t>Ask: could a new hire write an on-brand caption from this page alone? That is the only test of a guidelines document that matters.</w:t>
            </w:r>
          </w:p>
        </w:tc>
      </w:tr>
      <w:tr>
        <w:tc>
          <w:tcPr>
            <w:tcW w:type="dxa" w:w="3226"/>
          </w:tcPr>
          <w:p>
            <w:r/>
            <w:r>
              <w:rPr>
                <w:sz w:val="19"/>
              </w:rPr>
              <w:t>3</w:t>
            </w:r>
          </w:p>
        </w:tc>
        <w:tc>
          <w:tcPr>
            <w:tcW w:type="dxa" w:w="3226"/>
          </w:tcPr>
          <w:p>
            <w:r/>
            <w:r>
              <w:rPr>
                <w:b/>
                <w:sz w:val="19"/>
              </w:rPr>
              <w:t xml:space="preserve">Write the brand values. </w:t>
            </w:r>
            <w:r>
              <w:rPr>
                <w:sz w:val="19"/>
              </w:rPr>
              <w:t>Three to five values, each with one line on what it means in practice. A value that could belong to any skincare brand is not a value — it is a platitude. Test each by asking whether a competitor could claim the opposite and still be credible.</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Write the mission statement. </w:t>
            </w:r>
            <w:r>
              <w:rPr>
                <w:sz w:val="19"/>
              </w:rPr>
              <w:t>One sentence, in plain language, that Retail, Marketing and Customer Service could each restate in their own words without contradicting one another.</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Define the voice. </w:t>
            </w:r>
            <w:r>
              <w:rPr>
                <w:sz w:val="19"/>
              </w:rPr>
              <w:t>Describe how Nimbus sounds using three or four adjectives, each paired with its opposite for clarity ('warm, not chummy'; 'direct, not blunt'). Opposites do more work than adjectives alone.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Show where tone flexes and where it stays fixed. </w:t>
            </w:r>
            <w:r>
              <w:rPr>
                <w:sz w:val="19"/>
              </w:rPr>
              <w:t>Write the same message twice — once as a customer service email, once as an Instagram caption. Mark what changed (register, length, emoji) and what must never change (the values, the honesty, the willingness to say what went wrong).</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one do/don't pair. </w:t>
            </w:r>
            <w:r>
              <w:rPr>
                <w:sz w:val="19"/>
              </w:rPr>
              <w:t>Take the actual inconsistency the founder noticed and write the correct version beside the wrong one. A concrete pair stops more drift than a page of principles.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Draft the implementation roadmap. </w:t>
            </w:r>
            <w:r>
              <w:rPr>
                <w:sz w:val="19"/>
              </w:rPr>
              <w:t>List what gets updated, in what order, by whom, before the relaunch: website, in-store signage, Instagram bio, staff scripts. Sequence by customer visibility.</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Recap the approved brand concept line from Activity 3</w:t>
            </w:r>
          </w:p>
        </w:tc>
      </w:tr>
      <w:tr>
        <w:tc>
          <w:tcPr>
            <w:tcW w:type="dxa" w:w="4839"/>
          </w:tcPr>
          <w:p>
            <w:r/>
            <w:r>
              <w:rPr>
                <w:sz w:val="19"/>
              </w:rPr>
              <w:t>8 min</w:t>
            </w:r>
          </w:p>
        </w:tc>
        <w:tc>
          <w:tcPr>
            <w:tcW w:type="dxa" w:w="4839"/>
          </w:tcPr>
          <w:p>
            <w:r/>
            <w:r>
              <w:rPr>
                <w:sz w:val="19"/>
              </w:rPr>
              <w:t>Draft the visual-identity specifications</w:t>
            </w:r>
          </w:p>
        </w:tc>
      </w:tr>
      <w:tr>
        <w:tc>
          <w:tcPr>
            <w:tcW w:type="dxa" w:w="4839"/>
          </w:tcPr>
          <w:p>
            <w:r/>
            <w:r>
              <w:rPr>
                <w:sz w:val="19"/>
              </w:rPr>
              <w:t>7 min</w:t>
            </w:r>
          </w:p>
        </w:tc>
        <w:tc>
          <w:tcPr>
            <w:tcW w:type="dxa" w:w="4839"/>
          </w:tcPr>
          <w:p>
            <w:r/>
            <w:r>
              <w:rPr>
                <w:sz w:val="19"/>
              </w:rPr>
              <w:t>Write the brand values and mission statement</w:t>
            </w:r>
          </w:p>
        </w:tc>
      </w:tr>
      <w:tr>
        <w:tc>
          <w:tcPr>
            <w:tcW w:type="dxa" w:w="4839"/>
          </w:tcPr>
          <w:p>
            <w:r/>
            <w:r>
              <w:rPr>
                <w:sz w:val="19"/>
              </w:rPr>
              <w:t>7 min</w:t>
            </w:r>
          </w:p>
        </w:tc>
        <w:tc>
          <w:tcPr>
            <w:tcW w:type="dxa" w:w="4839"/>
          </w:tcPr>
          <w:p>
            <w:r/>
            <w:r>
              <w:rPr>
                <w:sz w:val="19"/>
              </w:rPr>
              <w:t>Define the voice, and where tone flexes vs stays fixed</w:t>
            </w:r>
          </w:p>
        </w:tc>
      </w:tr>
      <w:tr>
        <w:tc>
          <w:tcPr>
            <w:tcW w:type="dxa" w:w="4839"/>
          </w:tcPr>
          <w:p>
            <w:r/>
            <w:r>
              <w:rPr>
                <w:sz w:val="19"/>
              </w:rPr>
              <w:t>4 min</w:t>
            </w:r>
          </w:p>
        </w:tc>
        <w:tc>
          <w:tcPr>
            <w:tcW w:type="dxa" w:w="4839"/>
          </w:tcPr>
          <w:p>
            <w:r/>
            <w:r>
              <w:rPr>
                <w:sz w:val="19"/>
              </w:rPr>
              <w:t>Write one do/don't usage pair and the rollout roadmap</w:t>
            </w:r>
          </w:p>
        </w:tc>
      </w:tr>
    </w:tbl>
    <w:p>
      <w:r>
        <w:rPr>
          <w:b/>
          <w:sz w:val="19"/>
        </w:rPr>
        <w:t>Total: 30 minutes</w:t>
      </w:r>
    </w:p>
    <w:p>
      <w:pPr>
        <w:pStyle w:val="Heading2"/>
      </w:pPr>
      <w:r>
        <w:t>Discussion &amp; decision prompts</w:t>
      </w:r>
    </w:p>
    <w:p>
      <w:pPr>
        <w:pStyle w:val="ListNumber"/>
      </w:pPr>
      <w:r>
        <w:t>Starting from Nimbus's approved brand concept line, what visual-identity specifications (logo usage, colour palette, typography) actually protect that concept?</w:t>
      </w:r>
    </w:p>
    <w:p>
      <w:pPr>
        <w:pStyle w:val="ListNumber"/>
      </w:pPr>
      <w:r>
        <w:t>What brand values and mission statement belong in the guidelines so all three teams can restate them the same way?</w:t>
      </w:r>
    </w:p>
    <w:p>
      <w:pPr>
        <w:pStyle w:val="ListNumber"/>
      </w:pPr>
      <w:r>
        <w:t>What does "Nimbus's voice" sound like in a customer email versus an Instagram caption — where should the tone flex, and where must it stay fixed?</w:t>
      </w:r>
    </w:p>
    <w:p>
      <w:pPr>
        <w:pStyle w:val="ListNumber"/>
      </w:pPr>
      <w:r>
        <w:t>What is one concrete usage example (a do/don't pair) that would stop the inconsistency the founder has already noticed?</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LU3 — Branding in Marketing.</w:t>
      </w:r>
    </w:p>
    <w:p>
      <w:pPr>
        <w:pStyle w:val="ListBullet"/>
      </w:pPr>
      <w:r>
        <w:t>Remind learners this activity rehearses what the Case Study assessment will require.</w:t>
      </w:r>
    </w:p>
    <w:p>
      <w:r>
        <w:t>Reflection questions:</w:t>
      </w:r>
    </w:p>
    <w:p>
      <w:pPr>
        <w:pStyle w:val="ListBullet"/>
      </w:pPr>
      <w:r>
        <w:t>Which building block — visual identity, values, voice or usage rules — was hardest for your table to pin down in concrete terms?</w:t>
      </w:r>
    </w:p>
    <w:p>
      <w:pPr>
        <w:pStyle w:val="ListBullet"/>
      </w:pPr>
      <w:r>
        <w:t>Did your voice guideline actually sound different from a generic "friendly and professional" brand, or could it apply to any wellness company?</w:t>
      </w:r>
    </w:p>
    <w:p>
      <w:pPr>
        <w:pStyle w:val="ListBullet"/>
      </w:pPr>
      <w:r>
        <w:t>If a new hire in Customer Service only ever read your guidelines document, would they write in Nimbus's voice by the end of week one?</w:t>
      </w:r>
    </w:p>
    <w:p>
      <w:pPr>
        <w:pStyle w:val="Heading2"/>
      </w:pPr>
      <w:r>
        <w:t>Facilitator notes — what to watch for</w:t>
      </w:r>
    </w:p>
    <w:p>
      <w:pPr>
        <w:pStyle w:val="ListBullet"/>
      </w:pPr>
      <w:r>
        <w:t>Tables tend to over-invest in colour palettes and under-invest in voice — voice is what Customer Service actually needs to do their job.</w:t>
      </w:r>
    </w:p>
    <w:p>
      <w:pPr>
        <w:pStyle w:val="ListBullet"/>
      </w:pPr>
      <w:r>
        <w:t>Ask: could a new hire write an on-brand caption from this page alone? That is the only test of a guidelines document that matters.</w:t>
      </w:r>
    </w:p>
    <w:p>
      <w:pPr>
        <w:pStyle w:val="Heading2"/>
      </w:pPr>
      <w:r>
        <w:t>Success criterion</w:t>
      </w:r>
    </w:p>
    <w:p>
      <w:r>
        <w:t>Every group can show a one-page brand-guidelines draft — visual identity spec, brand values, a voice description with an example, and at least one concrete usage do/don't — that Retail, Marketing and Customer Service could each apply without further clarification.</w:t>
      </w:r>
    </w:p>
    <w:p>
      <w:pPr>
        <w:pStyle w:val="Heading2"/>
      </w:pPr>
      <w:r>
        <w:t>Assessment link</w:t>
      </w:r>
    </w:p>
    <w:p>
      <w:r>
        <w:t>This activity builds LU3 — Branding in Marketing.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