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10 — CHECKLIST</w:t>
      </w:r>
    </w:p>
    <w:p>
      <w:r>
        <w:rPr>
          <w:b/>
          <w:color w:val="111827"/>
          <w:sz w:val="30"/>
        </w:rPr>
        <w:t>Brand-Marketing Audit Exercise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LU3 — Branding in Marketing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Brand-Marketing Audit Exercise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brand identity standard is written down before the audit begins.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Each identity element is ticked or crossed against the actual campaign.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consistency score cites specific evidence.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report acknowledges the campaign succeeded on sales AND failed on brand.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Recommendations keep promotion viable rather than banning discounts.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LU3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brand-audit report with a consistency assessment score for the discount campaign, the specific identity elements that were missing, and two or three concrete recommendations for better brand-marketing integration.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