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78"/>
      </w:tblGrid>
      <w:tr>
        <w:tc>
          <w:tcPr>
            <w:tcW w:type="dxa" w:w="9678"/>
            <w:shd w:val="clear" w:color="auto" w:fill="1F6FEB"/>
          </w:tcPr>
          <w:p>
            <w:r>
              <w:rPr>
                <w:b/>
                <w:color w:val="FFFFFF"/>
                <w:sz w:val="20"/>
              </w:rPr>
              <w:t>Tertiary Infotech Academy Pte Ltd</w:t>
            </w:r>
          </w:p>
          <w:p>
            <w:r>
              <w:rPr>
                <w:color w:val="FFFFFF"/>
                <w:sz w:val="17"/>
              </w:rPr>
              <w:t>Customer-Centric Branding and Communication Tactics  ·  TGS-2026061321</w:t>
            </w:r>
          </w:p>
        </w:tc>
      </w:tr>
    </w:tbl>
    <w:p>
      <w:r>
        <w:rPr>
          <w:b/>
          <w:color w:val="1F6FEB"/>
          <w:sz w:val="24"/>
        </w:rPr>
        <w:t>ACTIVITY 10 — FACILITATOR GUIDE</w:t>
      </w:r>
    </w:p>
    <w:p>
      <w:r>
        <w:rPr>
          <w:b/>
          <w:color w:val="111827"/>
          <w:sz w:val="30"/>
        </w:rPr>
        <w:t>Brand-Marketing Audit Exercise</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2419"/>
        <w:gridCol w:w="2419"/>
        <w:gridCol w:w="2419"/>
        <w:gridCol w:w="2419"/>
      </w:tblGrid>
      <w:tr>
        <w:tc>
          <w:tcPr>
            <w:tcW w:type="dxa" w:w="2419"/>
            <w:shd w:val="clear" w:color="auto" w:fill="F5F8FC"/>
          </w:tcPr>
          <w:p>
            <w:r>
              <w:rPr>
                <w:b/>
                <w:color w:val="1F6FEB"/>
                <w:sz w:val="15"/>
              </w:rPr>
              <w:t>TYPE</w:t>
            </w:r>
          </w:p>
          <w:p>
            <w:r>
              <w:rPr>
                <w:color w:val="111827"/>
                <w:sz w:val="18"/>
              </w:rPr>
              <w:t>Case Study</w:t>
            </w:r>
          </w:p>
        </w:tc>
        <w:tc>
          <w:tcPr>
            <w:tcW w:type="dxa" w:w="2419"/>
            <w:shd w:val="clear" w:color="auto" w:fill="F5F8FC"/>
          </w:tcPr>
          <w:p>
            <w:r>
              <w:rPr>
                <w:b/>
                <w:color w:val="1F6FEB"/>
                <w:sz w:val="15"/>
              </w:rPr>
              <w:t>DURATION</w:t>
            </w:r>
          </w:p>
          <w:p>
            <w:r>
              <w:rPr>
                <w:color w:val="111827"/>
                <w:sz w:val="18"/>
              </w:rPr>
              <w:t>20 minutes</w:t>
            </w:r>
          </w:p>
        </w:tc>
        <w:tc>
          <w:tcPr>
            <w:tcW w:type="dxa" w:w="2419"/>
            <w:shd w:val="clear" w:color="auto" w:fill="F5F8FC"/>
          </w:tcPr>
          <w:p>
            <w:r>
              <w:rPr>
                <w:b/>
                <w:color w:val="1F6FEB"/>
                <w:sz w:val="15"/>
              </w:rPr>
              <w:t>MAPS TO</w:t>
            </w:r>
          </w:p>
          <w:p>
            <w:r>
              <w:rPr>
                <w:color w:val="111827"/>
                <w:sz w:val="18"/>
              </w:rPr>
              <w:t>LU3</w:t>
            </w:r>
          </w:p>
        </w:tc>
        <w:tc>
          <w:tcPr>
            <w:tcW w:type="dxa" w:w="2419"/>
            <w:shd w:val="clear" w:color="auto" w:fill="F5F8FC"/>
          </w:tcPr>
          <w:p>
            <w:r>
              <w:rPr>
                <w:b/>
                <w:color w:val="1F6FEB"/>
                <w:sz w:val="15"/>
              </w:rPr>
              <w:t>TOPIC</w:t>
            </w:r>
          </w:p>
          <w:p>
            <w:r>
              <w:rPr>
                <w:color w:val="111827"/>
                <w:sz w:val="18"/>
              </w:rPr>
              <w:t>LU3 — Branding in Marketing</w:t>
            </w:r>
          </w:p>
        </w:tc>
      </w:tr>
    </w:tbl>
    <w:p/>
    <w:p>
      <w:pPr>
        <w:pStyle w:val="Heading2"/>
      </w:pPr>
      <w:r>
        <w:t>Purpose of this activity</w:t>
      </w:r>
    </w:p>
    <w:p>
      <w:r>
        <w:t>By the end of this activity learners will be able to explain the role of branding in marketing (LU3).</w:t>
      </w:r>
    </w:p>
    <w:p>
      <w:pPr>
        <w:pStyle w:val="Heading2"/>
      </w:pPr>
      <w:r>
        <w:t>What learners produce</w:t>
      </w:r>
    </w:p>
    <w:p>
      <w:r>
        <w:t>A brand-audit report: consistency score, the missing identity elements, and two to three recommendations for brand-marketing integration.</w:t>
      </w:r>
    </w:p>
    <w:p>
      <w:pPr>
        <w:pStyle w:val="Heading2"/>
      </w:pPr>
      <w:r>
        <w:t>Materials required</w:t>
      </w:r>
    </w:p>
    <w:p>
      <w:pPr>
        <w:pStyle w:val="ListBullet"/>
      </w:pPr>
      <w:r>
        <w:t>Learner Worksheet (one per learner)</w:t>
      </w:r>
    </w:p>
    <w:p>
      <w:pPr>
        <w:pStyle w:val="ListBullet"/>
      </w:pPr>
      <w:r>
        <w:t>Checklist (one per group)</w:t>
      </w:r>
    </w:p>
    <w:p>
      <w:pPr>
        <w:pStyle w:val="ListBullet"/>
      </w:pPr>
      <w:r>
        <w:t>Flipchart or A3 sheet and markers</w:t>
      </w:r>
    </w:p>
    <w:p>
      <w:pPr>
        <w:pStyle w:val="ListBullet"/>
      </w:pPr>
      <w:r>
        <w:t>The course slides for the scenario and framework</w:t>
      </w:r>
    </w:p>
    <w:p>
      <w:pPr>
        <w:pStyle w:val="ListBullet"/>
      </w:pPr>
      <w:r>
        <w:t>Internet access where the activity calls for live research</w:t>
      </w:r>
    </w:p>
    <w:p>
      <w:pPr>
        <w:pStyle w:val="Heading2"/>
      </w:pPr>
      <w:r>
        <w:t>Set-up</w:t>
      </w:r>
    </w:p>
    <w:p>
      <w:r>
        <w:t>Groups of 3–5. Distribute one worksheet per learner and one checklist per group. All 17 activities run on the same continuous Nimbus Wellness scenario, so remind learners of where this activity sits in that story before you start.</w:t>
      </w:r>
    </w:p>
    <w:p>
      <w:pPr>
        <w:pStyle w:val="Heading2"/>
      </w:pPr>
      <w:r>
        <w:t>Scenario / briefing material</w:t>
      </w:r>
    </w:p>
    <w:p>
      <w:r>
        <w:t>The Marketing Lead has just shown your table Nimbus's most recent campaign: a two-week discount push on the best-selling serum, promoted purely on price. It performed well on sales, but the founder is uneasy — it never once mentioned the brand values from the LU1 attribute map, and a few loyal customers commented that it "felt like any other skincare sale."</w:t>
      </w:r>
    </w:p>
    <w:p>
      <w:r>
        <w:t>Before the relaunch campaign is greenlit, leadership wants proof that Nimbus's marketing activity is actually building the brand, not just borrowing short-term attention from it. Your table has been asked to audit the discount campaign against Nimbus's approved brand identity.</w:t>
      </w:r>
    </w:p>
    <w:p>
      <w:pPr>
        <w:pStyle w:val="Heading2"/>
      </w:pPr>
      <w:r>
        <w:t>How to run it — step by step</w:t>
      </w:r>
    </w:p>
    <w:tbl>
      <w:tblPr>
        <w:tblStyle w:val="TableGrid"/>
        <w:tblW w:type="auto" w:w="0"/>
        <w:tblLook w:firstColumn="1" w:firstRow="1" w:lastColumn="0" w:lastRow="0" w:noHBand="0" w:noVBand="1" w:val="04A0"/>
      </w:tblPr>
      <w:tblGrid>
        <w:gridCol w:w="3226"/>
        <w:gridCol w:w="3226"/>
        <w:gridCol w:w="3226"/>
      </w:tblGrid>
      <w:tr>
        <w:tc>
          <w:tcPr>
            <w:tcW w:type="dxa" w:w="3226"/>
            <w:shd w:val="clear" w:color="auto" w:fill="1F6FEB"/>
          </w:tcPr>
          <w:p>
            <w:r/>
            <w:r>
              <w:rPr>
                <w:b/>
                <w:color w:val="FFFFFF"/>
                <w:sz w:val="19"/>
              </w:rPr>
              <w:t>#</w:t>
            </w:r>
          </w:p>
        </w:tc>
        <w:tc>
          <w:tcPr>
            <w:tcW w:type="dxa" w:w="3226"/>
            <w:shd w:val="clear" w:color="auto" w:fill="1F6FEB"/>
          </w:tcPr>
          <w:p>
            <w:r/>
            <w:r>
              <w:rPr>
                <w:b/>
                <w:color w:val="FFFFFF"/>
                <w:sz w:val="19"/>
              </w:rPr>
              <w:t>Instruction to learners</w:t>
            </w:r>
          </w:p>
        </w:tc>
        <w:tc>
          <w:tcPr>
            <w:tcW w:type="dxa" w:w="3226"/>
            <w:shd w:val="clear" w:color="auto" w:fill="1F6FEB"/>
          </w:tcPr>
          <w:p>
            <w:r/>
            <w:r>
              <w:rPr>
                <w:b/>
                <w:color w:val="FFFFFF"/>
                <w:sz w:val="19"/>
              </w:rPr>
              <w:t>Facilitator note</w:t>
            </w:r>
          </w:p>
        </w:tc>
      </w:tr>
      <w:tr>
        <w:tc>
          <w:tcPr>
            <w:tcW w:type="dxa" w:w="3226"/>
          </w:tcPr>
          <w:p>
            <w:r/>
            <w:r>
              <w:rPr>
                <w:sz w:val="19"/>
              </w:rPr>
              <w:t>1</w:t>
            </w:r>
          </w:p>
        </w:tc>
        <w:tc>
          <w:tcPr>
            <w:tcW w:type="dxa" w:w="3226"/>
          </w:tcPr>
          <w:p>
            <w:r/>
            <w:r>
              <w:rPr>
                <w:b/>
                <w:sz w:val="19"/>
              </w:rPr>
              <w:t xml:space="preserve">Restate the brand identity. </w:t>
            </w:r>
            <w:r>
              <w:rPr>
                <w:sz w:val="19"/>
              </w:rPr>
              <w:t>List the identity elements Nimbus has already approved — the concept line, the values, the hard and soft attributes from Activity 3. This is your audit standard; without it written down, the audit becomes opinion.</w:t>
            </w:r>
          </w:p>
        </w:tc>
        <w:tc>
          <w:tcPr>
            <w:tcW w:type="dxa" w:w="3226"/>
          </w:tcPr>
          <w:p>
            <w:r/>
            <w:r>
              <w:rPr>
                <w:sz w:val="18"/>
              </w:rPr>
              <w:t>The trap is treating 'it sold well' and 'it hurt the brand' as contradictory. The strongest audits hold both.</w:t>
            </w:r>
          </w:p>
        </w:tc>
      </w:tr>
      <w:tr>
        <w:tc>
          <w:tcPr>
            <w:tcW w:type="dxa" w:w="3226"/>
            <w:shd w:val="clear" w:color="auto" w:fill="F5F8FC"/>
          </w:tcPr>
          <w:p>
            <w:r/>
            <w:r>
              <w:rPr>
                <w:sz w:val="19"/>
              </w:rPr>
              <w:t>2</w:t>
            </w:r>
          </w:p>
        </w:tc>
        <w:tc>
          <w:tcPr>
            <w:tcW w:type="dxa" w:w="3226"/>
            <w:shd w:val="clear" w:color="auto" w:fill="F5F8FC"/>
          </w:tcPr>
          <w:p>
            <w:r/>
            <w:r>
              <w:rPr>
                <w:b/>
                <w:sz w:val="19"/>
              </w:rPr>
              <w:t xml:space="preserve">Inventory what the campaign actually said. </w:t>
            </w:r>
            <w:r>
              <w:rPr>
                <w:sz w:val="19"/>
              </w:rPr>
              <w:t>Write down what the two-week discount push communicated: the serum, the price cut, the urgency. Be strict — record only what was actually said, not what the team intended to imply.</w:t>
            </w:r>
          </w:p>
        </w:tc>
        <w:tc>
          <w:tcPr>
            <w:tcW w:type="dxa" w:w="3226"/>
            <w:shd w:val="clear" w:color="auto" w:fill="F5F8FC"/>
          </w:tcPr>
          <w:p>
            <w:r/>
            <w:r>
              <w:rPr>
                <w:sz w:val="18"/>
              </w:rPr>
              <w:t>This is the shortest LU3 activity (20 min) — keep the inventory step brisk.</w:t>
            </w:r>
          </w:p>
        </w:tc>
      </w:tr>
      <w:tr>
        <w:tc>
          <w:tcPr>
            <w:tcW w:type="dxa" w:w="3226"/>
          </w:tcPr>
          <w:p>
            <w:r/>
            <w:r>
              <w:rPr>
                <w:sz w:val="19"/>
              </w:rPr>
              <w:t>3</w:t>
            </w:r>
          </w:p>
        </w:tc>
        <w:tc>
          <w:tcPr>
            <w:tcW w:type="dxa" w:w="3226"/>
          </w:tcPr>
          <w:p>
            <w:r/>
            <w:r>
              <w:rPr>
                <w:b/>
                <w:sz w:val="19"/>
              </w:rPr>
              <w:t xml:space="preserve">Compare element by element. </w:t>
            </w:r>
            <w:r>
              <w:rPr>
                <w:sz w:val="19"/>
              </w:rPr>
              <w:t>Tick each identity element that appeared in the campaign and cross those that did not. The crosses are your finding, and there will be many.</w:t>
            </w:r>
          </w:p>
        </w:tc>
        <w:tc>
          <w:tcPr>
            <w:tcW w:type="dxa" w:w="3226"/>
          </w:tcPr>
          <w:p>
            <w:r/>
            <w:r>
              <w:rPr>
                <w:sz w:val="18"/>
              </w:rPr>
            </w:r>
          </w:p>
        </w:tc>
      </w:tr>
      <w:tr>
        <w:tc>
          <w:tcPr>
            <w:tcW w:type="dxa" w:w="3226"/>
            <w:shd w:val="clear" w:color="auto" w:fill="F5F8FC"/>
          </w:tcPr>
          <w:p>
            <w:r/>
            <w:r>
              <w:rPr>
                <w:sz w:val="19"/>
              </w:rPr>
              <w:t>4</w:t>
            </w:r>
          </w:p>
        </w:tc>
        <w:tc>
          <w:tcPr>
            <w:tcW w:type="dxa" w:w="3226"/>
            <w:shd w:val="clear" w:color="auto" w:fill="F5F8FC"/>
          </w:tcPr>
          <w:p>
            <w:r/>
            <w:r>
              <w:rPr>
                <w:b/>
                <w:sz w:val="19"/>
              </w:rPr>
              <w:t xml:space="preserve">Score consistency with evidence. </w:t>
            </w:r>
            <w:r>
              <w:rPr>
                <w:sz w:val="19"/>
              </w:rPr>
              <w:t>Give a consistency score out of 10 and justify it in one sentence citing your ticks and crosses. A score without evidence is just a feeling.</w:t>
            </w:r>
          </w:p>
        </w:tc>
        <w:tc>
          <w:tcPr>
            <w:tcW w:type="dxa" w:w="3226"/>
            <w:shd w:val="clear" w:color="auto" w:fill="F5F8FC"/>
          </w:tcPr>
          <w:p>
            <w:r/>
            <w:r>
              <w:rPr>
                <w:sz w:val="18"/>
              </w:rPr>
            </w:r>
          </w:p>
        </w:tc>
      </w:tr>
      <w:tr>
        <w:tc>
          <w:tcPr>
            <w:tcW w:type="dxa" w:w="3226"/>
          </w:tcPr>
          <w:p>
            <w:r/>
            <w:r>
              <w:rPr>
                <w:sz w:val="19"/>
              </w:rPr>
              <w:t>5</w:t>
            </w:r>
          </w:p>
        </w:tc>
        <w:tc>
          <w:tcPr>
            <w:tcW w:type="dxa" w:w="3226"/>
          </w:tcPr>
          <w:p>
            <w:r/>
            <w:r>
              <w:rPr>
                <w:b/>
                <w:sz w:val="19"/>
              </w:rPr>
              <w:t xml:space="preserve">Weigh the loyal-customer comment. </w:t>
            </w:r>
            <w:r>
              <w:rPr>
                <w:sz w:val="19"/>
              </w:rPr>
              <w:t>Customers said it 'felt like any other skincare sale.' Discuss what that reveals: the campaign succeeded commercially while borrowing equity from the brand rather than building it. Both things are true at once, and the Board needs to hear both.</w:t>
            </w:r>
          </w:p>
        </w:tc>
        <w:tc>
          <w:tcPr>
            <w:tcW w:type="dxa" w:w="3226"/>
          </w:tcPr>
          <w:p>
            <w:r/>
            <w:r>
              <w:rPr>
                <w:sz w:val="18"/>
              </w:rPr>
            </w:r>
          </w:p>
        </w:tc>
      </w:tr>
      <w:tr>
        <w:tc>
          <w:tcPr>
            <w:tcW w:type="dxa" w:w="3226"/>
            <w:shd w:val="clear" w:color="auto" w:fill="F5F8FC"/>
          </w:tcPr>
          <w:p>
            <w:r/>
            <w:r>
              <w:rPr>
                <w:sz w:val="19"/>
              </w:rPr>
              <w:t>6</w:t>
            </w:r>
          </w:p>
        </w:tc>
        <w:tc>
          <w:tcPr>
            <w:tcW w:type="dxa" w:w="3226"/>
            <w:shd w:val="clear" w:color="auto" w:fill="F5F8FC"/>
          </w:tcPr>
          <w:p>
            <w:r/>
            <w:r>
              <w:rPr>
                <w:b/>
                <w:sz w:val="19"/>
              </w:rPr>
              <w:t xml:space="preserve">Size the gap. </w:t>
            </w:r>
            <w:r>
              <w:rPr>
                <w:sz w:val="19"/>
              </w:rPr>
              <w:t>State how wide the gap is between what the campaign said and what the brand stands for — and whether one more campaign like it would materially damage the brand or merely fail to help it.</w:t>
            </w:r>
          </w:p>
        </w:tc>
        <w:tc>
          <w:tcPr>
            <w:tcW w:type="dxa" w:w="3226"/>
            <w:shd w:val="clear" w:color="auto" w:fill="F5F8FC"/>
          </w:tcPr>
          <w:p>
            <w:r/>
            <w:r>
              <w:rPr>
                <w:sz w:val="18"/>
              </w:rPr>
            </w:r>
          </w:p>
        </w:tc>
      </w:tr>
      <w:tr>
        <w:tc>
          <w:tcPr>
            <w:tcW w:type="dxa" w:w="3226"/>
          </w:tcPr>
          <w:p>
            <w:r/>
            <w:r>
              <w:rPr>
                <w:sz w:val="19"/>
              </w:rPr>
              <w:t>7</w:t>
            </w:r>
          </w:p>
        </w:tc>
        <w:tc>
          <w:tcPr>
            <w:tcW w:type="dxa" w:w="3226"/>
          </w:tcPr>
          <w:p>
            <w:r/>
            <w:r>
              <w:rPr>
                <w:b/>
                <w:sz w:val="19"/>
              </w:rPr>
              <w:t xml:space="preserve">Write the recommendations. </w:t>
            </w:r>
            <w:r>
              <w:rPr>
                <w:sz w:val="19"/>
              </w:rPr>
              <w:t>Two or three concrete changes that would make the next campaign build equity while still moving stock. Do not recommend abandoning promotions — recommend how a promotion can carry the brand's values while still being a promotion.</w:t>
            </w:r>
          </w:p>
        </w:tc>
        <w:tc>
          <w:tcPr>
            <w:tcW w:type="dxa" w:w="3226"/>
          </w:tcPr>
          <w:p>
            <w:r/>
            <w:r>
              <w:rPr>
                <w:sz w:val="18"/>
              </w:rPr>
            </w:r>
          </w:p>
        </w:tc>
      </w:tr>
    </w:tbl>
    <w:p>
      <w:pPr>
        <w:pStyle w:val="Heading2"/>
      </w:pPr>
      <w:r>
        <w:t>Suggested timing</w:t>
      </w:r>
    </w:p>
    <w:tbl>
      <w:tblPr>
        <w:tblStyle w:val="TableGrid"/>
        <w:tblW w:type="auto" w:w="0"/>
        <w:tblLook w:firstColumn="1" w:firstRow="1" w:lastColumn="0" w:lastRow="0" w:noHBand="0" w:noVBand="1" w:val="04A0"/>
      </w:tblPr>
      <w:tblGrid>
        <w:gridCol w:w="4839"/>
        <w:gridCol w:w="4839"/>
      </w:tblGrid>
      <w:tr>
        <w:tc>
          <w:tcPr>
            <w:tcW w:type="dxa" w:w="4839"/>
            <w:shd w:val="clear" w:color="auto" w:fill="1F6FEB"/>
          </w:tcPr>
          <w:p>
            <w:r/>
            <w:r>
              <w:rPr>
                <w:b/>
                <w:color w:val="FFFFFF"/>
                <w:sz w:val="19"/>
              </w:rPr>
              <w:t>Minutes</w:t>
            </w:r>
          </w:p>
        </w:tc>
        <w:tc>
          <w:tcPr>
            <w:tcW w:type="dxa" w:w="4839"/>
            <w:shd w:val="clear" w:color="auto" w:fill="1F6FEB"/>
          </w:tcPr>
          <w:p>
            <w:r/>
            <w:r>
              <w:rPr>
                <w:b/>
                <w:color w:val="FFFFFF"/>
                <w:sz w:val="19"/>
              </w:rPr>
              <w:t>Phase</w:t>
            </w:r>
          </w:p>
        </w:tc>
      </w:tr>
      <w:tr>
        <w:tc>
          <w:tcPr>
            <w:tcW w:type="dxa" w:w="4839"/>
          </w:tcPr>
          <w:p>
            <w:r/>
            <w:r>
              <w:rPr>
                <w:sz w:val="19"/>
              </w:rPr>
              <w:t>3 min</w:t>
            </w:r>
          </w:p>
        </w:tc>
        <w:tc>
          <w:tcPr>
            <w:tcW w:type="dxa" w:w="4839"/>
          </w:tcPr>
          <w:p>
            <w:r/>
            <w:r>
              <w:rPr>
                <w:sz w:val="19"/>
              </w:rPr>
              <w:t>Review the discount campaign against the brand concept</w:t>
            </w:r>
          </w:p>
        </w:tc>
      </w:tr>
      <w:tr>
        <w:tc>
          <w:tcPr>
            <w:tcW w:type="dxa" w:w="4839"/>
          </w:tcPr>
          <w:p>
            <w:r/>
            <w:r>
              <w:rPr>
                <w:sz w:val="19"/>
              </w:rPr>
              <w:t>6 min</w:t>
            </w:r>
          </w:p>
        </w:tc>
        <w:tc>
          <w:tcPr>
            <w:tcW w:type="dxa" w:w="4839"/>
          </w:tcPr>
          <w:p>
            <w:r/>
            <w:r>
              <w:rPr>
                <w:sz w:val="19"/>
              </w:rPr>
              <w:t>List the identity elements that should have appeared</w:t>
            </w:r>
          </w:p>
        </w:tc>
      </w:tr>
      <w:tr>
        <w:tc>
          <w:tcPr>
            <w:tcW w:type="dxa" w:w="4839"/>
          </w:tcPr>
          <w:p>
            <w:r/>
            <w:r>
              <w:rPr>
                <w:sz w:val="19"/>
              </w:rPr>
              <w:t>5 min</w:t>
            </w:r>
          </w:p>
        </w:tc>
        <w:tc>
          <w:tcPr>
            <w:tcW w:type="dxa" w:w="4839"/>
          </w:tcPr>
          <w:p>
            <w:r/>
            <w:r>
              <w:rPr>
                <w:sz w:val="19"/>
              </w:rPr>
              <w:t>Score the campaign for consistency with evidence</w:t>
            </w:r>
          </w:p>
        </w:tc>
      </w:tr>
      <w:tr>
        <w:tc>
          <w:tcPr>
            <w:tcW w:type="dxa" w:w="4839"/>
          </w:tcPr>
          <w:p>
            <w:r/>
            <w:r>
              <w:rPr>
                <w:sz w:val="19"/>
              </w:rPr>
              <w:t>4 min</w:t>
            </w:r>
          </w:p>
        </w:tc>
        <w:tc>
          <w:tcPr>
            <w:tcW w:type="dxa" w:w="4839"/>
          </w:tcPr>
          <w:p>
            <w:r/>
            <w:r>
              <w:rPr>
                <w:sz w:val="19"/>
              </w:rPr>
              <w:t>Locate and size the gap</w:t>
            </w:r>
          </w:p>
        </w:tc>
      </w:tr>
      <w:tr>
        <w:tc>
          <w:tcPr>
            <w:tcW w:type="dxa" w:w="4839"/>
          </w:tcPr>
          <w:p>
            <w:r/>
            <w:r>
              <w:rPr>
                <w:sz w:val="19"/>
              </w:rPr>
              <w:t>2 min</w:t>
            </w:r>
          </w:p>
        </w:tc>
        <w:tc>
          <w:tcPr>
            <w:tcW w:type="dxa" w:w="4839"/>
          </w:tcPr>
          <w:p>
            <w:r/>
            <w:r>
              <w:rPr>
                <w:sz w:val="19"/>
              </w:rPr>
              <w:t>Write two or three concrete recommendations</w:t>
            </w:r>
          </w:p>
        </w:tc>
      </w:tr>
    </w:tbl>
    <w:p>
      <w:r>
        <w:rPr>
          <w:b/>
          <w:sz w:val="19"/>
        </w:rPr>
        <w:t>Total: 20 minutes</w:t>
      </w:r>
    </w:p>
    <w:p>
      <w:pPr>
        <w:pStyle w:val="Heading2"/>
      </w:pPr>
      <w:r>
        <w:t>Discussion &amp; decision prompts</w:t>
      </w:r>
    </w:p>
    <w:p>
      <w:pPr>
        <w:pStyle w:val="ListNumber"/>
      </w:pPr>
      <w:r>
        <w:t>Which core identity elements from Nimbus's approved brand concept should this campaign have reflected — and which of them actually appeared in the discount push?</w:t>
      </w:r>
    </w:p>
    <w:p>
      <w:pPr>
        <w:pStyle w:val="ListNumber"/>
      </w:pPr>
      <w:r>
        <w:t>Was the discount campaign's messaging aligned with the brand's identity, or did it lean on price alone the way a generic competitor would?</w:t>
      </w:r>
    </w:p>
    <w:p>
      <w:pPr>
        <w:pStyle w:val="ListNumber"/>
      </w:pPr>
      <w:r>
        <w:t>Where exactly is the gap between what the campaign said and what the brand stands for — and how wide is it?</w:t>
      </w:r>
    </w:p>
    <w:p>
      <w:pPr>
        <w:pStyle w:val="ListNumber"/>
      </w:pPr>
      <w:r>
        <w:t>What two or three concrete changes would make the next relaunch-adjacent campaign build brand equity instead of just moving stock?</w:t>
      </w:r>
    </w:p>
    <w:p>
      <w:pPr>
        <w:pStyle w:val="Heading2"/>
      </w:pPr>
      <w:r>
        <w:t>Debrief</w:t>
      </w:r>
    </w:p>
    <w:p>
      <w:r>
        <w:t>Bring the class back together and draw out the learning:</w:t>
      </w:r>
    </w:p>
    <w:p>
      <w:pPr>
        <w:pStyle w:val="ListBullet"/>
      </w:pPr>
      <w:r>
        <w:t>Ask two or three groups to show what they produced, not just what they concluded.</w:t>
      </w:r>
    </w:p>
    <w:p>
      <w:pPr>
        <w:pStyle w:val="ListBullet"/>
      </w:pPr>
      <w:r>
        <w:t>Ask what surprised them — the gap between what they assumed and what they found.</w:t>
      </w:r>
    </w:p>
    <w:p>
      <w:pPr>
        <w:pStyle w:val="ListBullet"/>
      </w:pPr>
      <w:r>
        <w:t>Link the activity explicitly back to LU3 — Branding in Marketing.</w:t>
      </w:r>
    </w:p>
    <w:p>
      <w:pPr>
        <w:pStyle w:val="ListBullet"/>
      </w:pPr>
      <w:r>
        <w:t>Remind learners this activity rehearses what the Case Study assessment will require.</w:t>
      </w:r>
    </w:p>
    <w:p>
      <w:r>
        <w:t>Reflection questions:</w:t>
      </w:r>
    </w:p>
    <w:p>
      <w:pPr>
        <w:pStyle w:val="ListBullet"/>
      </w:pPr>
      <w:r>
        <w:t>Did your table's consistency score match what the loyal-customer comments already hinted at?</w:t>
      </w:r>
    </w:p>
    <w:p>
      <w:pPr>
        <w:pStyle w:val="ListBullet"/>
      </w:pPr>
      <w:r>
        <w:t>Was the gap you found about the message itself, or about which channel carried it?</w:t>
      </w:r>
    </w:p>
    <w:p>
      <w:pPr>
        <w:pStyle w:val="ListBullet"/>
      </w:pPr>
      <w:r>
        <w:t>If every future Nimbus campaign scored this low on brand alignment, what would that do to the 5th-anniversary relaunch's credibility?</w:t>
      </w:r>
    </w:p>
    <w:p>
      <w:pPr>
        <w:pStyle w:val="Heading2"/>
      </w:pPr>
      <w:r>
        <w:t>Facilitator notes — what to watch for</w:t>
      </w:r>
    </w:p>
    <w:p>
      <w:pPr>
        <w:pStyle w:val="ListBullet"/>
      </w:pPr>
      <w:r>
        <w:t>The trap is treating 'it sold well' and 'it hurt the brand' as contradictory. The strongest audits hold both.</w:t>
      </w:r>
    </w:p>
    <w:p>
      <w:pPr>
        <w:pStyle w:val="ListBullet"/>
      </w:pPr>
      <w:r>
        <w:t>This is the shortest LU3 activity (20 min) — keep the inventory step brisk.</w:t>
      </w:r>
    </w:p>
    <w:p>
      <w:pPr>
        <w:pStyle w:val="Heading2"/>
      </w:pPr>
      <w:r>
        <w:t>Success criterion</w:t>
      </w:r>
    </w:p>
    <w:p>
      <w:r>
        <w:t>Every group can show a brand-audit report with a consistency assessment score for the discount campaign, the specific identity elements that were missing, and two or three concrete recommendations for better brand-marketing integration.</w:t>
      </w:r>
    </w:p>
    <w:p>
      <w:pPr>
        <w:pStyle w:val="Heading2"/>
      </w:pPr>
      <w:r>
        <w:t>Assessment link</w:t>
      </w:r>
    </w:p>
    <w:p>
      <w:r>
        <w:t>This activity builds LU3 — Branding in Marketing. All 17 activities are in-class activities assessed indirectly through the open-book Case Study (CS) component, which reuses the same techniques on the same continuous Nimbus Wellness scenario. Knowledge is assessed in the Written Assessment (WA-SAQ). Nothing is assessed that is not practised here or taught in the slides.</w:t>
      </w:r>
    </w:p>
    <w:p>
      <w:r>
        <w:rPr>
          <w:i/>
          <w:color w:val="555B66"/>
          <w:sz w:val="16"/>
        </w:rPr>
        <w:t>Customer-Centric Branding and Communication Tactics · TGS-2026061321 · Version v8 · © 2026 Tertiary Infotech Academy Pte Ltd</w:t>
      </w:r>
    </w:p>
    <w:sectPr w:rsidR="00FC693F" w:rsidRPr="0006063C" w:rsidSect="00034616">
      <w:pgSz w:w="12240" w:h="15840"/>
      <w:pgMar w:top="1134" w:right="1281" w:bottom="1134" w:left="12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