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11 — CHECKLIST</w:t>
      </w:r>
    </w:p>
    <w:p>
      <w:r>
        <w:rPr>
          <w:b/>
          <w:color w:val="111827"/>
          <w:sz w:val="30"/>
        </w:rPr>
        <w:t>Brand Activation Planning Workshop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LU3 — Branding in Marketing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Brand Activation Planning Workshop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core message answers the personalisation gap by demonstration, not assertion.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of the 3-4 channels has a distinct, non-overlapping job.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experiential element passes relevant / emotional / shareable.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It survives the 'would they post it without a prize?' test.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brand-recall metric is defined that is not attendance or impressions.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timeline and budget split exist.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campaign plan naming 3-4 channels, one core message traceable to the brand concept, one experiential element with a clear rationale, and a brand-recall metric for measuring success — not just a reach or attendance number.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