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Customer-Centric Branding and Communication Tactics  ·  TGS-2026061321</w:t>
            </w:r>
          </w:p>
        </w:tc>
      </w:tr>
    </w:tbl>
    <w:p>
      <w:r>
        <w:rPr>
          <w:b/>
          <w:color w:val="1F6FEB"/>
          <w:sz w:val="24"/>
        </w:rPr>
        <w:t>ACTIVITY 12 — CHECKLIST</w:t>
      </w:r>
    </w:p>
    <w:p>
      <w:r>
        <w:rPr>
          <w:b/>
          <w:color w:val="111827"/>
          <w:sz w:val="30"/>
        </w:rPr>
        <w:t>PR Campaign Budget Planning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Case Study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25 minutes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LU3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TOPIC</w:t>
            </w:r>
          </w:p>
          <w:p>
            <w:r>
              <w:rPr>
                <w:color w:val="111827"/>
                <w:sz w:val="18"/>
              </w:rPr>
              <w:t>LU3 — Branding in Marketing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PR Campaign Budget Planning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Percentages across Paid/Earned/Shared/Owned plus reserve total 100%.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LU3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Each allocation has a one-line rationale tied to positioning.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LU3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One channel is explicitly and deliberately underfunded, with a reason.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LU3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The reserve has a written trigger condition.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LU3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KPIs measure reputation, not reach.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LU3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Every allocation survived a CEO-style challenge.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LU3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Every group can show a PR budget proposal with a percentage split across paid, earned, shared and owned channels, a stated reserve fund, and a KPI list the Board could use to judge reputation impact rather than reach alone.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Customer-Centric Branding and Communication Tactics · TGS-2026061321 · Version v8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