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12 — LEARNER WORKSHEET</w:t>
      </w:r>
    </w:p>
    <w:p>
      <w:r>
        <w:rPr>
          <w:b/>
          <w:color w:val="111827"/>
          <w:sz w:val="30"/>
        </w:rPr>
        <w:t>PR Campaign Budget Planning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LU3 — Branding in Marketing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What you are doing</w:t>
      </w:r>
    </w:p>
    <w:p>
      <w:r>
        <w:t>The CEO has approved a bounded PR budget for the 5th-anniversary relaunch — but not a blank cheque. Before a single dollar is spent, the CEO wants to see it allocated across earned, owned and paid channels in a way that visibly matches Nimbus's brand positioning, not just whichever channel the Marketing team finds easiest to book.</w:t>
      </w:r>
    </w:p>
    <w:p>
      <w:r>
        <w:rPr>
          <w:b/>
        </w:rPr>
        <w:t xml:space="preserve">What you will produce: </w:t>
      </w:r>
      <w:r>
        <w:t>A PR budget proposal: a percentage split across Paid/Earned/Shared/Owned, a reserve fund with a defined trigger, and Board-grade reputation KPIs.</w:t>
      </w:r>
    </w:p>
    <w:p>
      <w:pPr>
        <w:pStyle w:val="Heading2"/>
      </w:pPr>
      <w:r>
        <w:t>The scenario</w:t>
      </w:r>
    </w:p>
    <w:p>
      <w:r>
        <w:t>The Board has already flagged a second concern for after the relaunch: they want ongoing proof the campaign improved Nimbus's reputation, not just its impression count — so today's budget plan needs KPIs the Board can actually hold the team to.</w:t>
      </w:r>
    </w:p>
    <w:p>
      <w:r>
        <w:t>Your table has been asked to build the PR budget proposal the CEO will sign off on.</w:t>
      </w:r>
    </w:p>
    <w:p>
      <w:pPr>
        <w:pStyle w:val="Heading2"/>
      </w:pPr>
      <w:r>
        <w:t>Your steps</w:t>
      </w:r>
    </w:p>
    <w:p>
      <w:pPr>
        <w:pStyle w:val="ListNumber"/>
      </w:pPr>
      <w:r>
        <w:rPr>
          <w:b/>
        </w:rPr>
        <w:t xml:space="preserve">Anchor to positioning, not convenience — </w:t>
      </w:r>
      <w:r>
        <w:t>Write Nimbus's brand positioning and the perception gap at the top. Every allocation must be defensible against these, not against which channel is easiest for Marketing to book.</w:t>
      </w:r>
    </w:p>
    <w:p>
      <w:pPr>
        <w:pStyle w:val="ListNumber"/>
      </w:pPr>
      <w:r>
        <w:rPr>
          <w:b/>
        </w:rPr>
        <w:t xml:space="preserve">Allocate across the four PESO channels — </w:t>
      </w:r>
      <w:r>
        <w:t>Assign a percentage to Paid, Earned, Shared and Owned. They must total 100% including your reserve. Write a one-line rationale beside each figure.</w:t>
      </w:r>
    </w:p>
    <w:p>
      <w:pPr>
        <w:pStyle w:val="ListNumber"/>
      </w:pPr>
      <w:r>
        <w:rPr>
          <w:b/>
        </w:rPr>
        <w:t xml:space="preserve">Justify the largest share — </w:t>
      </w:r>
      <w:r>
        <w:t>Name the channel taking the biggest share and argue why it is right for THIS relaunch. Given a credibility problem, Earned and Shared usually deserve more than Paid — paid reach does not repair trust, and a brand shouting louder about being personal tends to prove the opposite.</w:t>
      </w:r>
    </w:p>
    <w:p>
      <w:pPr>
        <w:pStyle w:val="ListNumber"/>
      </w:pPr>
      <w:r>
        <w:rPr>
          <w:b/>
        </w:rPr>
        <w:t xml:space="preserve">Decide what to underfund deliberately — </w:t>
      </w:r>
      <w:r>
        <w:t>Name the channel you are consciously underfunding and why. Deliberate underfunding is a strategic decision; leaving something out silently is an oversight. The CEO will ask about this.</w:t>
      </w:r>
    </w:p>
    <w:p>
      <w:pPr>
        <w:pStyle w:val="ListNumber"/>
      </w:pPr>
      <w:r>
        <w:rPr>
          <w:b/>
        </w:rPr>
        <w:t xml:space="preserve">Set the reserve and its trigger — </w:t>
      </w:r>
      <w:r>
        <w:t>Hold back a percentage and — critically — write what specific event would release it. A reserve without a trigger becomes either unspent or spent on impulse. The packaging-defect scenario in Activity 15 is exactly the kind of trigger to plan for.</w:t>
      </w:r>
    </w:p>
    <w:p>
      <w:pPr>
        <w:pStyle w:val="ListNumber"/>
      </w:pPr>
      <w:r>
        <w:rPr>
          <w:b/>
        </w:rPr>
        <w:t xml:space="preserve">Define reputation KPIs, not reach KPIs — </w:t>
      </w:r>
      <w:r>
        <w:t>The Board wants proof of reputation improvement. Impressions and reach measure exposure. Sentiment shift, share of positive voice, review-score movement and earned-mention quality measure reputation. Choose the latter.</w:t>
      </w:r>
    </w:p>
    <w:p>
      <w:pPr>
        <w:pStyle w:val="ListNumber"/>
      </w:pPr>
      <w:r>
        <w:rPr>
          <w:b/>
        </w:rPr>
        <w:t xml:space="preserve">Pressure-test the proposal — </w:t>
      </w:r>
      <w:r>
        <w:t>Have one person at the table play the CEO and challenge each allocation. Revise anything that cannot be defended in one sentence.</w:t>
      </w:r>
    </w:p>
    <w:p>
      <w:pPr>
        <w:pStyle w:val="Heading2"/>
      </w:pPr>
      <w:r>
        <w:t>Your working space</w:t>
      </w:r>
    </w:p>
    <w:p>
      <w:r>
        <w:t>Complete every field. You may keep this worksheet and refer to it during the open-book assessment.</w:t>
      </w:r>
    </w:p>
    <w:p>
      <w:r>
        <w:rPr>
          <w:b/>
          <w:color w:val="1F6FEB"/>
          <w:sz w:val="20"/>
        </w:rPr>
        <w:t>Step 1 — Anchor to positioning, not convenience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2 — Allocate across the four PESO channels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3 — Justify the largest share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4 — Decide what to underfund deliberately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5 — Set the reserve and its trigger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6 — Define reputation KPIs, not reach KPIs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7 — Pressure-test the proposal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Answers to the discussion prompts</w:t>
      </w:r>
    </w:p>
    <w:p>
      <w:r>
        <w:rPr>
          <w:b/>
          <w:sz w:val="20"/>
        </w:rPr>
        <w:t>1. Using the PESO model, how should the budget split across paid, earned, shared and owned channels given Nimbus's brand positioning and the perception gap it's trying to close?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2. Which channel deserves the largest share of spend for this specific relaunch — and which would you deliberately underfund, and why?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3. What percentage, if any, should be held back as a reserve fund, and what would trigger Nimbus to actually spend it?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4. What KPIs would let the Board judge reputation improvement, not just reach or impressions?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Reflect &amp; discuss</w:t>
      </w:r>
    </w:p>
    <w:p>
      <w:r>
        <w:rPr>
          <w:b/>
          <w:sz w:val="20"/>
        </w:rPr>
        <w:t>Did your allocation favour the channel that's easiest to execute, or the one the brand positioning actually calls for?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How did you decide the size of the reserve fund — was it a rule of thumb or tied to a specific risk Nimbus is facing?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If the Board rejected your KPI list as "just vanity metrics," what would you replace them with?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Check your work</w:t>
      </w:r>
    </w:p>
    <w:p>
      <w:r>
        <w:t>Every group can show a PR budget proposal with a percentage split across paid, earned, shared and owned channels, a stated reserve fund, and a KPI list the Board could use to judge reputation impact rather than reach alone.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