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13 — CHECKLIST</w:t>
      </w:r>
    </w:p>
    <w:p>
      <w:r>
        <w:rPr>
          <w:b/>
          <w:color w:val="111827"/>
          <w:sz w:val="30"/>
        </w:rPr>
        <w:t>Platform Reputation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Platform Reputation Audit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missing pre-relaunch baseline is called out explicitly.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Three platforms chosen for signal, including where customers complain.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platform has at least one leading and one lagging indicator with a source.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test exists to separate genuine shift from campaign-week hype.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one-sentence Board verdict is written, backed by evidence.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platform-by-platform audit naming at least one leading and one lagging indicator per platform, and can state in one sentence whether the evidence shows a genuine reputation shift or just a relaunch-week spike.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