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Customer-Centric Branding and Communication Tactics  ·  TGS-2026061321</w:t>
            </w:r>
          </w:p>
        </w:tc>
      </w:tr>
    </w:tbl>
    <w:p>
      <w:r>
        <w:rPr>
          <w:b/>
          <w:color w:val="1F6FEB"/>
          <w:sz w:val="24"/>
        </w:rPr>
        <w:t>ACTIVITY 13 — FACILITATOR GUIDE</w:t>
      </w:r>
    </w:p>
    <w:p>
      <w:r>
        <w:rPr>
          <w:b/>
          <w:color w:val="111827"/>
          <w:sz w:val="30"/>
        </w:rPr>
        <w:t>Platform Reputation Audit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Case Study</w:t>
            </w:r>
          </w:p>
        </w:tc>
        <w:tc>
          <w:tcPr>
            <w:tcW w:type="dxa" w:w="2419"/>
            <w:shd w:val="clear" w:color="auto" w:fill="F5F8FC"/>
          </w:tcPr>
          <w:p>
            <w:r>
              <w:rPr>
                <w:b/>
                <w:color w:val="1F6FEB"/>
                <w:sz w:val="15"/>
              </w:rPr>
              <w:t>DURATION</w:t>
            </w:r>
          </w:p>
          <w:p>
            <w:r>
              <w:rPr>
                <w:color w:val="111827"/>
                <w:sz w:val="18"/>
              </w:rPr>
              <w:t>20 minutes</w:t>
            </w:r>
          </w:p>
        </w:tc>
        <w:tc>
          <w:tcPr>
            <w:tcW w:type="dxa" w:w="2419"/>
            <w:shd w:val="clear" w:color="auto" w:fill="F5F8FC"/>
          </w:tcPr>
          <w:p>
            <w:r>
              <w:rPr>
                <w:b/>
                <w:color w:val="1F6FEB"/>
                <w:sz w:val="15"/>
              </w:rPr>
              <w:t>MAPS TO</w:t>
            </w:r>
          </w:p>
          <w:p>
            <w:r>
              <w:rPr>
                <w:color w:val="111827"/>
                <w:sz w:val="18"/>
              </w:rPr>
              <w:t>LU4</w:t>
            </w:r>
          </w:p>
        </w:tc>
        <w:tc>
          <w:tcPr>
            <w:tcW w:type="dxa" w:w="2419"/>
            <w:shd w:val="clear" w:color="auto" w:fill="F5F8FC"/>
          </w:tcPr>
          <w:p>
            <w:r>
              <w:rPr>
                <w:b/>
                <w:color w:val="1F6FEB"/>
                <w:sz w:val="15"/>
              </w:rPr>
              <w:t>TOPIC</w:t>
            </w:r>
          </w:p>
          <w:p>
            <w:r>
              <w:rPr>
                <w:color w:val="111827"/>
                <w:sz w:val="18"/>
              </w:rPr>
              <w:t>LU4 — Branding Effectiveness</w:t>
            </w:r>
          </w:p>
        </w:tc>
      </w:tr>
    </w:tbl>
    <w:p/>
    <w:p>
      <w:pPr>
        <w:pStyle w:val="Heading2"/>
      </w:pPr>
      <w:r>
        <w:t>Purpose of this activity</w:t>
      </w:r>
    </w:p>
    <w:p>
      <w:r>
        <w:t>By the end of this activity learners will be able to identify measures or indicators of the organisation's reputation on different platforms (LU4).</w:t>
      </w:r>
    </w:p>
    <w:p>
      <w:pPr>
        <w:pStyle w:val="Heading2"/>
      </w:pPr>
      <w:r>
        <w:t>What learners produce</w:t>
      </w:r>
    </w:p>
    <w:p>
      <w:r>
        <w:t>A platform-by-platform audit with at least one leading and one lagging indicator each, and a one-sentence verdict on real movement vs noise.</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3–5. Distribute one worksheet per learner and one checklist per group. All 17 activities run on the same continuous Nimbus Wellness scenario, so remind learners of where this activity sits in that story before you start.</w:t>
      </w:r>
    </w:p>
    <w:p>
      <w:pPr>
        <w:pStyle w:val="Heading2"/>
      </w:pPr>
      <w:r>
        <w:t>Scenario / briefing material</w:t>
      </w:r>
    </w:p>
    <w:p>
      <w:r>
        <w:t>Three weeks after Nimbus Wellness's 5th-anniversary relaunch went live, the founder is celebrating a spike in impressions and website traffic. The Board isn't satisfied with raw numbers, though — it wants to know whether the relaunch actually repaired the "doesn't feel personal anymore" perception gap uncovered before the campaign, or just produced a short-term spike in attention.</w:t>
      </w:r>
    </w:p>
    <w:p>
      <w:r>
        <w:t>Marketing has a folder of screenshots — likes, shares, a handful of glowing reviews — but no one has compared this to what reputation looked like before the relaunch, or checked the platforms customers actually complain on, like Google reviews and the wellness retail chain's own app.</w:t>
      </w:r>
    </w:p>
    <w:p>
      <w:r>
        <w:t>Before Marketing reports back to the Board next week, your table must build the audit that separates real reputation movement from relaunch-week noise.</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Establish the baseline problem. </w:t>
            </w:r>
            <w:r>
              <w:rPr>
                <w:sz w:val="19"/>
              </w:rPr>
              <w:t>Note the central difficulty first: Marketing has post-relaunch screenshots but no pre-relaunch baseline. Without a before, no after can prove movement. State this explicitly — it is the finding the Board most needs to hear.</w:t>
            </w:r>
          </w:p>
        </w:tc>
        <w:tc>
          <w:tcPr>
            <w:tcW w:type="dxa" w:w="3226"/>
          </w:tcPr>
          <w:p>
            <w:r/>
            <w:r>
              <w:rPr>
                <w:sz w:val="18"/>
              </w:rPr>
              <w:t>The baseline gap is the intended discovery. If no table raises it, ask what they are comparing their numbers against.</w:t>
            </w:r>
          </w:p>
        </w:tc>
      </w:tr>
      <w:tr>
        <w:tc>
          <w:tcPr>
            <w:tcW w:type="dxa" w:w="3226"/>
            <w:shd w:val="clear" w:color="auto" w:fill="F5F8FC"/>
          </w:tcPr>
          <w:p>
            <w:r/>
            <w:r>
              <w:rPr>
                <w:sz w:val="19"/>
              </w:rPr>
              <w:t>2</w:t>
            </w:r>
          </w:p>
        </w:tc>
        <w:tc>
          <w:tcPr>
            <w:tcW w:type="dxa" w:w="3226"/>
            <w:shd w:val="clear" w:color="auto" w:fill="F5F8FC"/>
          </w:tcPr>
          <w:p>
            <w:r/>
            <w:r>
              <w:rPr>
                <w:b/>
                <w:sz w:val="19"/>
              </w:rPr>
              <w:t xml:space="preserve">Choose three platforms for signal, not volume. </w:t>
            </w:r>
            <w:r>
              <w:rPr>
                <w:sz w:val="19"/>
              </w:rPr>
              <w:t>Pick the platforms where customers actually complain — Google reviews and the retail chain's app — over the platforms with the biggest impression counts. Auditing where you look best is not an audit.</w:t>
            </w:r>
          </w:p>
        </w:tc>
        <w:tc>
          <w:tcPr>
            <w:tcW w:type="dxa" w:w="3226"/>
            <w:shd w:val="clear" w:color="auto" w:fill="F5F8FC"/>
          </w:tcPr>
          <w:p>
            <w:r/>
            <w:r>
              <w:rPr>
                <w:sz w:val="18"/>
              </w:rPr>
              <w:t>Twenty minutes is tight — keep platform selection to five minutes.</w:t>
            </w:r>
          </w:p>
        </w:tc>
      </w:tr>
      <w:tr>
        <w:tc>
          <w:tcPr>
            <w:tcW w:type="dxa" w:w="3226"/>
          </w:tcPr>
          <w:p>
            <w:r/>
            <w:r>
              <w:rPr>
                <w:sz w:val="19"/>
              </w:rPr>
              <w:t>3</w:t>
            </w:r>
          </w:p>
        </w:tc>
        <w:tc>
          <w:tcPr>
            <w:tcW w:type="dxa" w:w="3226"/>
          </w:tcPr>
          <w:p>
            <w:r/>
            <w:r>
              <w:rPr>
                <w:b/>
                <w:sz w:val="19"/>
              </w:rPr>
              <w:t xml:space="preserve">Define leading vs lagging indicators. </w:t>
            </w:r>
            <w:r>
              <w:rPr>
                <w:sz w:val="19"/>
              </w:rPr>
              <w:t>Leading indicators warn early (sentiment trend in new reviews, question volume, share of negative mentions this week). Lagging indicators confirm after the fact (average review score, repeat-purchase rate, NPS). You need both: leading to steer, lagging to prove.</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b/>
                <w:sz w:val="19"/>
              </w:rPr>
              <w:t xml:space="preserve">Assign indicators per platform. </w:t>
            </w:r>
            <w:r>
              <w:rPr>
                <w:sz w:val="19"/>
              </w:rPr>
              <w:t>At least one leading and one lagging indicator for each of the three platforms, with the data source for each.</w:t>
            </w:r>
          </w:p>
        </w:tc>
        <w:tc>
          <w:tcPr>
            <w:tcW w:type="dxa" w:w="3226"/>
            <w:shd w:val="clear" w:color="auto" w:fill="F5F8FC"/>
          </w:tcPr>
          <w:p>
            <w:r/>
            <w:r>
              <w:rPr>
                <w:sz w:val="18"/>
              </w:rPr>
            </w:r>
          </w:p>
        </w:tc>
      </w:tr>
      <w:tr>
        <w:tc>
          <w:tcPr>
            <w:tcW w:type="dxa" w:w="3226"/>
          </w:tcPr>
          <w:p>
            <w:r/>
            <w:r>
              <w:rPr>
                <w:sz w:val="19"/>
              </w:rPr>
              <w:t>5</w:t>
            </w:r>
          </w:p>
        </w:tc>
        <w:tc>
          <w:tcPr>
            <w:tcW w:type="dxa" w:w="3226"/>
          </w:tcPr>
          <w:p>
            <w:r/>
            <w:r>
              <w:rPr>
                <w:b/>
                <w:sz w:val="19"/>
              </w:rPr>
              <w:t xml:space="preserve">Separate signal from relaunch-week noise. </w:t>
            </w:r>
            <w:r>
              <w:rPr>
                <w:sz w:val="19"/>
              </w:rPr>
              <w:t>Design the test that distinguishes a real sentiment shift from hype. The strongest approach is to track whether the specific 'feels personal' language recurs in unprompted comments several weeks after the spike, when campaign attention has faded.</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b/>
                <w:sz w:val="19"/>
              </w:rPr>
              <w:t xml:space="preserve">Handle the mixed-evidence case. </w:t>
            </w:r>
            <w:r>
              <w:rPr>
                <w:sz w:val="19"/>
              </w:rPr>
              <w:t>Decide in advance what you would tell the Board if quantitative numbers look strong but no qualitative comment mentions feeling more personal. This is the most likely real outcome, and the honest answer is that the campaign moved attention but not perception.</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Write the verdict. </w:t>
            </w:r>
            <w:r>
              <w:rPr>
                <w:sz w:val="19"/>
              </w:rPr>
              <w:t>One sentence for the Board: genuine reputation shift, or relaunch-week spike — with the evidence that decides it.</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3 min</w:t>
            </w:r>
          </w:p>
        </w:tc>
        <w:tc>
          <w:tcPr>
            <w:tcW w:type="dxa" w:w="4839"/>
          </w:tcPr>
          <w:p>
            <w:r/>
            <w:r>
              <w:rPr>
                <w:sz w:val="19"/>
              </w:rPr>
              <w:t>Set the pre-relaunch baseline question</w:t>
            </w:r>
          </w:p>
        </w:tc>
      </w:tr>
      <w:tr>
        <w:tc>
          <w:tcPr>
            <w:tcW w:type="dxa" w:w="4839"/>
          </w:tcPr>
          <w:p>
            <w:r/>
            <w:r>
              <w:rPr>
                <w:sz w:val="19"/>
              </w:rPr>
              <w:t>5 min</w:t>
            </w:r>
          </w:p>
        </w:tc>
        <w:tc>
          <w:tcPr>
            <w:tcW w:type="dxa" w:w="4839"/>
          </w:tcPr>
          <w:p>
            <w:r/>
            <w:r>
              <w:rPr>
                <w:sz w:val="19"/>
              </w:rPr>
              <w:t>Choose three platforms that reveal reputation, not volume</w:t>
            </w:r>
          </w:p>
        </w:tc>
      </w:tr>
      <w:tr>
        <w:tc>
          <w:tcPr>
            <w:tcW w:type="dxa" w:w="4839"/>
          </w:tcPr>
          <w:p>
            <w:r/>
            <w:r>
              <w:rPr>
                <w:sz w:val="19"/>
              </w:rPr>
              <w:t>6 min</w:t>
            </w:r>
          </w:p>
        </w:tc>
        <w:tc>
          <w:tcPr>
            <w:tcW w:type="dxa" w:w="4839"/>
          </w:tcPr>
          <w:p>
            <w:r/>
            <w:r>
              <w:rPr>
                <w:sz w:val="19"/>
              </w:rPr>
              <w:t>Assign leading and lagging indicators per platform</w:t>
            </w:r>
          </w:p>
        </w:tc>
      </w:tr>
      <w:tr>
        <w:tc>
          <w:tcPr>
            <w:tcW w:type="dxa" w:w="4839"/>
          </w:tcPr>
          <w:p>
            <w:r/>
            <w:r>
              <w:rPr>
                <w:sz w:val="19"/>
              </w:rPr>
              <w:t>4 min</w:t>
            </w:r>
          </w:p>
        </w:tc>
        <w:tc>
          <w:tcPr>
            <w:tcW w:type="dxa" w:w="4839"/>
          </w:tcPr>
          <w:p>
            <w:r/>
            <w:r>
              <w:rPr>
                <w:sz w:val="19"/>
              </w:rPr>
              <w:t>Separate genuine shift from relaunch-week noise</w:t>
            </w:r>
          </w:p>
        </w:tc>
      </w:tr>
      <w:tr>
        <w:tc>
          <w:tcPr>
            <w:tcW w:type="dxa" w:w="4839"/>
          </w:tcPr>
          <w:p>
            <w:r/>
            <w:r>
              <w:rPr>
                <w:sz w:val="19"/>
              </w:rPr>
              <w:t>2 min</w:t>
            </w:r>
          </w:p>
        </w:tc>
        <w:tc>
          <w:tcPr>
            <w:tcW w:type="dxa" w:w="4839"/>
          </w:tcPr>
          <w:p>
            <w:r/>
            <w:r>
              <w:rPr>
                <w:sz w:val="19"/>
              </w:rPr>
              <w:t>Write the one-sentence verdict for the Board</w:t>
            </w:r>
          </w:p>
        </w:tc>
      </w:tr>
    </w:tbl>
    <w:p>
      <w:r>
        <w:rPr>
          <w:b/>
          <w:sz w:val="19"/>
        </w:rPr>
        <w:t>Total: 20 minutes</w:t>
      </w:r>
    </w:p>
    <w:p>
      <w:pPr>
        <w:pStyle w:val="Heading2"/>
      </w:pPr>
      <w:r>
        <w:t>Discussion &amp; decision prompts</w:t>
      </w:r>
    </w:p>
    <w:p>
      <w:pPr>
        <w:pStyle w:val="ListNumber"/>
      </w:pPr>
      <w:r>
        <w:t>Which 3 platforms will actually tell you whether Nimbus's reputation has shifted since the relaunch — not just which platforms have the most impressions?</w:t>
      </w:r>
    </w:p>
    <w:p>
      <w:pPr>
        <w:pStyle w:val="ListNumber"/>
      </w:pPr>
      <w:r>
        <w:t>Which of your chosen metrics are leading indicators that warn of a problem early, and which are lagging indicators that only confirm what already happened?</w:t>
      </w:r>
    </w:p>
    <w:p>
      <w:pPr>
        <w:pStyle w:val="ListNumber"/>
      </w:pPr>
      <w:r>
        <w:t>How would you separate a genuine sentiment shift on "feels personal again" from a short-term spike caused by relaunch hype alone?</w:t>
      </w:r>
    </w:p>
    <w:p>
      <w:pPr>
        <w:pStyle w:val="ListNumber"/>
      </w:pPr>
      <w:r>
        <w:t>What would you tell the Board next week if the quantitative numbers looked good but the qualitative comments never mentioned feeling more "personal" at all?</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LU4 — Branding Effectiveness.</w:t>
      </w:r>
    </w:p>
    <w:p>
      <w:pPr>
        <w:pStyle w:val="ListBullet"/>
      </w:pPr>
      <w:r>
        <w:t>Remind learners this activity rehearses what the Case Study assessment will require.</w:t>
      </w:r>
    </w:p>
    <w:p>
      <w:r>
        <w:t>Reflection questions:</w:t>
      </w:r>
    </w:p>
    <w:p>
      <w:pPr>
        <w:pStyle w:val="ListBullet"/>
      </w:pPr>
      <w:r>
        <w:t>Did your table lean too heavily on quantitative metrics before someone asked what the qualitative comments actually said?</w:t>
      </w:r>
    </w:p>
    <w:p>
      <w:pPr>
        <w:pStyle w:val="ListBullet"/>
      </w:pPr>
      <w:r>
        <w:t>Which platform did you almost leave out of the audit — and why did it turn out to matter?</w:t>
      </w:r>
    </w:p>
    <w:p>
      <w:pPr>
        <w:pStyle w:val="ListBullet"/>
      </w:pPr>
      <w:r>
        <w:t>If the relaunch metrics stay strong for one more month and then fade, what would that suggest about whether the reputation gap was really closed?</w:t>
      </w:r>
    </w:p>
    <w:p>
      <w:pPr>
        <w:pStyle w:val="Heading2"/>
      </w:pPr>
      <w:r>
        <w:t>Facilitator notes — what to watch for</w:t>
      </w:r>
    </w:p>
    <w:p>
      <w:pPr>
        <w:pStyle w:val="ListBullet"/>
      </w:pPr>
      <w:r>
        <w:t>The baseline gap is the intended discovery. If no table raises it, ask what they are comparing their numbers against.</w:t>
      </w:r>
    </w:p>
    <w:p>
      <w:pPr>
        <w:pStyle w:val="ListBullet"/>
      </w:pPr>
      <w:r>
        <w:t>Twenty minutes is tight — keep platform selection to five minutes.</w:t>
      </w:r>
    </w:p>
    <w:p>
      <w:pPr>
        <w:pStyle w:val="Heading2"/>
      </w:pPr>
      <w:r>
        <w:t>Success criterion</w:t>
      </w:r>
    </w:p>
    <w:p>
      <w:r>
        <w:t>Every group can show a platform-by-platform audit naming at least one leading and one lagging indicator per platform, and can state in one sentence whether the evidence shows a genuine reputation shift or just a relaunch-week spike.</w:t>
      </w:r>
    </w:p>
    <w:p>
      <w:pPr>
        <w:pStyle w:val="Heading2"/>
      </w:pPr>
      <w:r>
        <w:t>Assessment link</w:t>
      </w:r>
    </w:p>
    <w:p>
      <w:r>
        <w:t>This activity builds LU4 — Branding Effectiveness. All 17 activities are in-class activities assessed indirectly through the open-book Case Study (CS) component, which reuses the same techniques on the same continuous Nimbus Wellness scenario. Knowledge is assessed in the Written Assessment (WA-SAQ). Nothing is assessed that is not practised here or taught in the slides.</w:t>
      </w:r>
    </w:p>
    <w:p>
      <w:r>
        <w:rPr>
          <w:i/>
          <w:color w:val="555B66"/>
          <w:sz w:val="16"/>
        </w:rPr>
        <w:t>Customer-Centric Branding and Communication Tactics · TGS-2026061321 · Version v8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