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14 — CHECKLIST</w:t>
      </w:r>
    </w:p>
    <w:p>
      <w:r>
        <w:rPr>
          <w:b/>
          <w:color w:val="111827"/>
          <w:sz w:val="30"/>
        </w:rPr>
        <w:t>Brand Health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Brand Health Assessment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four pillars are rated with named evidence and a confidence level.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reviews-up / purchases-flat gap is correctly diagnosed across Trust and Loyalty.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scorecard states that sentiment recovers before behaviour.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One pillar is chosen for further measurement with a justification.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rule distinguishes act-now indicators from watch-only ones.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weakest pillar has one action with an owner and review date.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one-page scorecard rating Nimbus on all four pillars with named evidence for each rating, plus one improvement action for the weakest pillar.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