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78"/>
      </w:tblGrid>
      <w:tr>
        <w:tc>
          <w:tcPr>
            <w:tcW w:type="dxa" w:w="9678"/>
            <w:shd w:val="clear" w:color="auto" w:fill="1F6FEB"/>
          </w:tcPr>
          <w:p>
            <w:r>
              <w:rPr>
                <w:b/>
                <w:color w:val="FFFFFF"/>
                <w:sz w:val="20"/>
              </w:rPr>
              <w:t>Tertiary Infotech Academy Pte Ltd</w:t>
            </w:r>
          </w:p>
          <w:p>
            <w:r>
              <w:rPr>
                <w:color w:val="FFFFFF"/>
                <w:sz w:val="17"/>
              </w:rPr>
              <w:t>Customer-Centric Branding and Communication Tactics  ·  TGS-2026061321</w:t>
            </w:r>
          </w:p>
        </w:tc>
      </w:tr>
    </w:tbl>
    <w:p>
      <w:r>
        <w:rPr>
          <w:b/>
          <w:color w:val="1F6FEB"/>
          <w:sz w:val="24"/>
        </w:rPr>
        <w:t>ACTIVITY 14 — LEARNER WORKSHEET</w:t>
      </w:r>
    </w:p>
    <w:p>
      <w:r>
        <w:rPr>
          <w:b/>
          <w:color w:val="111827"/>
          <w:sz w:val="30"/>
        </w:rPr>
        <w:t>Brand Health Assessment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TYPE</w:t>
            </w:r>
          </w:p>
          <w:p>
            <w:r>
              <w:rPr>
                <w:color w:val="111827"/>
                <w:sz w:val="18"/>
              </w:rPr>
              <w:t>Case Study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DURATION</w:t>
            </w:r>
          </w:p>
          <w:p>
            <w:r>
              <w:rPr>
                <w:color w:val="111827"/>
                <w:sz w:val="18"/>
              </w:rPr>
              <w:t>25 minutes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MAPS TO</w:t>
            </w:r>
          </w:p>
          <w:p>
            <w:r>
              <w:rPr>
                <w:color w:val="111827"/>
                <w:sz w:val="18"/>
              </w:rPr>
              <w:t>LU4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TOPIC</w:t>
            </w:r>
          </w:p>
          <w:p>
            <w:r>
              <w:rPr>
                <w:color w:val="111827"/>
                <w:sz w:val="18"/>
              </w:rPr>
              <w:t>LU4 — Branding Effectiveness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39"/>
        <w:gridCol w:w="4839"/>
      </w:tblGrid>
      <w:tr>
        <w:tc>
          <w:tcPr>
            <w:tcW w:type="dxa" w:w="4839"/>
            <w:shd w:val="clear" w:color="auto" w:fill="F5F8FC"/>
          </w:tcPr>
          <w:p>
            <w:r/>
            <w:r>
              <w:rPr>
                <w:b/>
                <w:sz w:val="19"/>
              </w:rPr>
              <w:t>Name</w:t>
            </w:r>
          </w:p>
        </w:tc>
        <w:tc>
          <w:tcPr>
            <w:tcW w:type="dxa" w:w="4839"/>
          </w:tcPr>
          <w:p>
            <w:r/>
          </w:p>
        </w:tc>
      </w:tr>
      <w:tr>
        <w:tc>
          <w:tcPr>
            <w:tcW w:type="dxa" w:w="4839"/>
            <w:shd w:val="clear" w:color="auto" w:fill="F5F8FC"/>
          </w:tcPr>
          <w:p>
            <w:r/>
            <w:r>
              <w:rPr>
                <w:b/>
                <w:sz w:val="19"/>
              </w:rPr>
              <w:t>Date</w:t>
            </w:r>
          </w:p>
        </w:tc>
        <w:tc>
          <w:tcPr>
            <w:tcW w:type="dxa" w:w="4839"/>
          </w:tcPr>
          <w:p>
            <w:r/>
          </w:p>
        </w:tc>
      </w:tr>
    </w:tbl>
    <w:p/>
    <w:p>
      <w:pPr>
        <w:pStyle w:val="Heading2"/>
      </w:pPr>
      <w:r>
        <w:t>What you are doing</w:t>
      </w:r>
    </w:p>
    <w:p>
      <w:r>
        <w:t>The Board's real question isn't "did the relaunch get noticed" — it's whether Nimbus's brand is genuinely healthier than it was six months ago. Marketing has awareness numbers on hand, but no one has looked at loyalty, financial impact or trust together.</w:t>
      </w:r>
    </w:p>
    <w:p>
      <w:r>
        <w:rPr>
          <w:b/>
        </w:rPr>
        <w:t xml:space="preserve">What you will produce: </w:t>
      </w:r>
      <w:r>
        <w:t>A one-page brand-health scorecard across Awareness, Loyalty, Financial Impact and Trust, with evidence per rating and one improvement action.</w:t>
      </w:r>
    </w:p>
    <w:p>
      <w:pPr>
        <w:pStyle w:val="Heading2"/>
      </w:pPr>
      <w:r>
        <w:t>The scenario</w:t>
      </w:r>
    </w:p>
    <w:p>
      <w:r>
        <w:t>The founder is due to present a "State of the Brand" update to the Board in two weeks, right after the relaunch's first full sales cycle closes. She has asked your table for a one-page brand-health scorecard she can defend line by line.</w:t>
      </w:r>
    </w:p>
    <w:p>
      <w:r>
        <w:t>Customer Service has also noticed something odd: several long-time customers who complained the brand "feels distant" are now leaving five-star reviews again — but repeat-purchase data hasn't moved yet.</w:t>
      </w:r>
    </w:p>
    <w:p>
      <w:pPr>
        <w:pStyle w:val="Heading2"/>
      </w:pPr>
      <w:r>
        <w:t>Your steps</w:t>
      </w:r>
    </w:p>
    <w:p>
      <w:pPr>
        <w:pStyle w:val="ListNumber"/>
      </w:pPr>
      <w:r>
        <w:rPr>
          <w:b/>
        </w:rPr>
        <w:t xml:space="preserve">Build the scorecard — </w:t>
      </w:r>
      <w:r>
        <w:t>Four rows — Awareness, Loyalty, Financial Impact, Trust. Columns: rating, evidence, confidence in that evidence. The founder must defend this line by line, so anything without evidence cannot carry a rating.</w:t>
      </w:r>
    </w:p>
    <w:p>
      <w:pPr>
        <w:pStyle w:val="ListNumber"/>
      </w:pPr>
      <w:r>
        <w:rPr>
          <w:b/>
        </w:rPr>
        <w:t xml:space="preserve">Define each pillar before rating — </w:t>
      </w:r>
      <w:r>
        <w:t>Awareness = do people know us. Loyalty = do they come back. Financial Impact = does the brand command price and volume. Trust = do they believe us when we speak. Agreeing definitions prevents the ratings from becoming vibes.</w:t>
      </w:r>
    </w:p>
    <w:p>
      <w:pPr>
        <w:pStyle w:val="ListNumber"/>
      </w:pPr>
      <w:r>
        <w:rPr>
          <w:b/>
        </w:rPr>
        <w:t xml:space="preserve">Rate each pillar with evidence — </w:t>
      </w:r>
      <w:r>
        <w:t>Assign a rating and cite the specific evidence. Where evidence is thin — likely for Trust — say so in the confidence column rather than inventing a number. A scorecard that admits low confidence is more defensible than one that does not.</w:t>
      </w:r>
    </w:p>
    <w:p>
      <w:pPr>
        <w:pStyle w:val="ListNumber"/>
      </w:pPr>
      <w:r>
        <w:rPr>
          <w:b/>
        </w:rPr>
        <w:t xml:space="preserve">Diagnose the central puzzle — </w:t>
      </w:r>
      <w:r>
        <w:t>Reviews have improved but repeat-purchase has not moved. Work out which pillar that sits in: Trust is recovering (people say better things) while Loyalty has not yet followed (they have not bought again). Sentiment recovers before behaviour does.</w:t>
      </w:r>
    </w:p>
    <w:p>
      <w:pPr>
        <w:pStyle w:val="ListNumber"/>
      </w:pPr>
      <w:r>
        <w:rPr>
          <w:b/>
        </w:rPr>
        <w:t xml:space="preserve">Draw the lesson about recovery time — </w:t>
      </w:r>
      <w:r>
        <w:t>State what that gap tells the founder: reputation repair shows up in words first and in money later. A Board expecting both simultaneously will judge the relaunch a failure too early. This is the sentence worth putting in the Board pack.</w:t>
      </w:r>
    </w:p>
    <w:p>
      <w:pPr>
        <w:pStyle w:val="ListNumber"/>
      </w:pPr>
      <w:r>
        <w:rPr>
          <w:b/>
        </w:rPr>
        <w:t xml:space="preserve">Choose where to spend one more month of measurement — </w:t>
      </w:r>
      <w:r>
        <w:t>Pick the single pillar where more measurement would most move Board confidence, and justify it. Usually Loyalty — because it is the pillar where the evidence is genuinely incomplete rather than merely weak.</w:t>
      </w:r>
    </w:p>
    <w:p>
      <w:pPr>
        <w:pStyle w:val="ListNumber"/>
      </w:pPr>
      <w:r>
        <w:rPr>
          <w:b/>
        </w:rPr>
        <w:t xml:space="preserve">Separate act-now from watch indicators — </w:t>
      </w:r>
      <w:r>
        <w:t>Write the rule your table would use: an indicator demands action when it is leading, sustained across periods, and tied to revenue or trust; it is worth watching when it is lagging, volatile, or a single data point.</w:t>
      </w:r>
    </w:p>
    <w:p>
      <w:pPr>
        <w:pStyle w:val="ListNumber"/>
      </w:pPr>
      <w:r>
        <w:rPr>
          <w:b/>
        </w:rPr>
        <w:t xml:space="preserve">Write the improvement action — </w:t>
      </w:r>
      <w:r>
        <w:t>One concrete action for the weakest pillar, with an owner and a review date.</w:t>
      </w:r>
    </w:p>
    <w:p>
      <w:pPr>
        <w:pStyle w:val="Heading2"/>
      </w:pPr>
      <w:r>
        <w:t>Your working space</w:t>
      </w:r>
    </w:p>
    <w:p>
      <w:r>
        <w:t>Complete every field. You may keep this worksheet and refer to it during the open-book assessment.</w:t>
      </w:r>
    </w:p>
    <w:p>
      <w:r>
        <w:rPr>
          <w:b/>
          <w:color w:val="1F6FEB"/>
          <w:sz w:val="20"/>
        </w:rPr>
        <w:t>Step 1 — Build the scorecard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color w:val="1F6FEB"/>
          <w:sz w:val="20"/>
        </w:rPr>
        <w:t>Step 2 — Define each pillar before rating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color w:val="1F6FEB"/>
          <w:sz w:val="20"/>
        </w:rPr>
        <w:t>Step 3 — Rate each pillar with evidence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color w:val="1F6FEB"/>
          <w:sz w:val="20"/>
        </w:rPr>
        <w:t>Step 4 — Diagnose the central puzzle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color w:val="1F6FEB"/>
          <w:sz w:val="20"/>
        </w:rPr>
        <w:t>Step 5 — Draw the lesson about recovery time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color w:val="1F6FEB"/>
          <w:sz w:val="20"/>
        </w:rPr>
        <w:t>Step 6 — Choose where to spend one more month of measurement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color w:val="1F6FEB"/>
          <w:sz w:val="20"/>
        </w:rPr>
        <w:t>Step 7 — Separate act-now from watch indicators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color w:val="1F6FEB"/>
          <w:sz w:val="20"/>
        </w:rPr>
        <w:t>Step 8 — Write the improvement action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pPr>
        <w:pStyle w:val="Heading2"/>
      </w:pPr>
      <w:r>
        <w:t>Answers to the discussion prompts</w:t>
      </w:r>
    </w:p>
    <w:p>
      <w:r>
        <w:rPr>
          <w:b/>
          <w:sz w:val="20"/>
        </w:rPr>
        <w:t>1. Across Awareness, Loyalty, Financial Impact and Trust, which pillar is Nimbus strongest on right now, and which is weakest — and what evidence would prove it either way?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sz w:val="20"/>
        </w:rPr>
        <w:t>2. The reviews have improved but repeat-purchase data hasn't moved — which pillar does that gap sit in, and what does it tell the founder about how long a real recovery actually takes?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sz w:val="20"/>
        </w:rPr>
        <w:t>3. If you could only fund one more month of measurement in a single pillar, which would move the Board's confidence most, and why?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sz w:val="20"/>
        </w:rPr>
        <w:t>4. What separates a brand-health indicator the Board should act on immediately from one that's just worth watching?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pPr>
        <w:pStyle w:val="Heading2"/>
      </w:pPr>
      <w:r>
        <w:t>Reflect &amp; discuss</w:t>
      </w:r>
    </w:p>
    <w:p>
      <w:r>
        <w:rPr>
          <w:b/>
          <w:sz w:val="20"/>
        </w:rPr>
        <w:t>Which pillar did your table find hardest to find real evidence for — awareness, loyalty, financial impact or trust?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sz w:val="20"/>
        </w:rPr>
        <w:t>Did the group's instinct about Nimbus's strongest pillar match what the evidence actually showed?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sz w:val="20"/>
        </w:rPr>
        <w:t>If financial impact keeps lagging the other three pillars for another quarter, is that a marketing problem or an operations problem?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pPr>
        <w:pStyle w:val="Heading2"/>
      </w:pPr>
      <w:r>
        <w:t>Check your work</w:t>
      </w:r>
    </w:p>
    <w:p>
      <w:r>
        <w:t>Every group can show a one-page scorecard rating Nimbus on all four pillars with named evidence for each rating, plus one improvement action for the weakest pillar.</w:t>
      </w:r>
    </w:p>
    <w:p>
      <w:r>
        <w:rPr>
          <w:i/>
          <w:color w:val="555B66"/>
          <w:sz w:val="16"/>
        </w:rPr>
        <w:t>Customer-Centric Branding and Communication Tactics · TGS-2026061321 · Version v8 · © 2026 Tertiary Infotech Academy Pte Ltd</w:t>
      </w:r>
    </w:p>
    <w:sectPr w:rsidR="00FC693F" w:rsidRPr="0006063C" w:rsidSect="00034616">
      <w:pgSz w:w="12240" w:h="15840"/>
      <w:pgMar w:top="1134" w:right="1281" w:bottom="1134" w:left="12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