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Customer-Centric Branding and Communication Tactics  ·  TGS-2026061321</w:t>
            </w:r>
          </w:p>
        </w:tc>
      </w:tr>
    </w:tbl>
    <w:p>
      <w:r>
        <w:rPr>
          <w:b/>
          <w:color w:val="1F6FEB"/>
          <w:sz w:val="24"/>
        </w:rPr>
        <w:t>ACTIVITY 15 — CHECKLIST</w:t>
      </w:r>
    </w:p>
    <w:p>
      <w:r>
        <w:rPr>
          <w:b/>
          <w:color w:val="111827"/>
          <w:sz w:val="30"/>
        </w:rPr>
        <w:t>PR Crisis Response Plan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Role Play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25 minutes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LU4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TOPIC</w:t>
            </w:r>
          </w:p>
          <w:p>
            <w:r>
              <w:rPr>
                <w:color w:val="111827"/>
                <w:sz w:val="18"/>
              </w:rPr>
              <w:t>LU4 — Branding Effectiveness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PR Crisis Response Plan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Confirmed / suspected / unknown are separated before anything is drafted.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LU4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 holding statement exists that acknowledges without admitting an unconfirmed cause.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LU4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It names what is being done now and when the next update comes.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LU4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The interview was run live with the Journalist pressing hard.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LU4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 single shared fact-sheet keeps internal and external messaging in sync.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LU4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The plan is benchmarked against a real crisis with the deciding choice named.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LU4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 24-hour follow-up commitment has an owner.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LU4</w:t>
            </w:r>
          </w:p>
        </w:tc>
        <w:tc>
          <w:tcPr>
            <w:tcW w:type="dxa" w:w="2419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Every group can perform or narrate a same-night response that names what Nimbus confirms publicly within hours, what it says in tomorrow's interview, and a follow-up commitment — and can point to which real-world example (fast/transparent vs delayed/silent) their plan resembles.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Customer-Centric Branding and Communication Tactics · TGS-2026061321 · Version v8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