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16 — CHECKLIST</w:t>
      </w:r>
    </w:p>
    <w:p>
      <w:r>
        <w:rPr>
          <w:b/>
          <w:color w:val="111827"/>
          <w:sz w:val="30"/>
        </w:rPr>
        <w:t>KPI Dashboard Design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LU4 — Branding Effectiveness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KPI Dashboard Design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Three internal and three external KPIs are named and distinguished.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KPI would change a Board decision if it moved.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At least one KPI is walked through all five SMART letters with its break point named.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Each KPI has a person as owner, a target, a source and a review date.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 two-month-miss escalation is written.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five-minute, one-slide view exists for the founder.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LU4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3 internal + 3 external KPIs, each SMART-tested with a named owner, target, data source and review deadline, and can explain what action a missed target would trigger.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