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17 — CHECKLIST</w:t>
      </w:r>
    </w:p>
    <w:p>
      <w:r>
        <w:rPr>
          <w:b/>
          <w:color w:val="111827"/>
          <w:sz w:val="30"/>
        </w:rPr>
        <w:t>PR Campaign Audit Exercise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LU4 — Branding Effectiveness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PR Campaign Audit Exercise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four AMEC stages are defined and populated with real evidence from the arc.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weakest stage is named with evidence for why.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impressions/sentiment pattern is classified as Outputs success, Outcomes gap.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hesitant retail partner is placed at Impact.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Three recommendations each fix a DIFFERENT stage.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repeatable cadence, owner and template are named.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map the relaunch campaign to all four AMEC stages (Inputs, Outputs, Outcomes, Impact), name the weakest stage with evidence, and give three recommendations that each fix a different stage — not three versions of the same idea.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