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Customer-Centric Branding and Communication Tactics  ·  TGS-2026061321</w:t>
            </w:r>
          </w:p>
        </w:tc>
      </w:tr>
    </w:tbl>
    <w:p>
      <w:r>
        <w:rPr>
          <w:b/>
          <w:color w:val="1F6FEB"/>
          <w:sz w:val="24"/>
        </w:rPr>
        <w:t>ACTIVITY 17 — FACILITATOR GUIDE</w:t>
      </w:r>
    </w:p>
    <w:p>
      <w:r>
        <w:rPr>
          <w:b/>
          <w:color w:val="111827"/>
          <w:sz w:val="30"/>
        </w:rPr>
        <w:t>PR Campaign Audit Exercise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Case Study</w:t>
            </w:r>
          </w:p>
        </w:tc>
        <w:tc>
          <w:tcPr>
            <w:tcW w:type="dxa" w:w="2419"/>
            <w:shd w:val="clear" w:color="auto" w:fill="F5F8FC"/>
          </w:tcPr>
          <w:p>
            <w:r>
              <w:rPr>
                <w:b/>
                <w:color w:val="1F6FEB"/>
                <w:sz w:val="15"/>
              </w:rPr>
              <w:t>DURATION</w:t>
            </w:r>
          </w:p>
          <w:p>
            <w:r>
              <w:rPr>
                <w:color w:val="111827"/>
                <w:sz w:val="18"/>
              </w:rPr>
              <w:t>25 minutes</w:t>
            </w:r>
          </w:p>
        </w:tc>
        <w:tc>
          <w:tcPr>
            <w:tcW w:type="dxa" w:w="2419"/>
            <w:shd w:val="clear" w:color="auto" w:fill="F5F8FC"/>
          </w:tcPr>
          <w:p>
            <w:r>
              <w:rPr>
                <w:b/>
                <w:color w:val="1F6FEB"/>
                <w:sz w:val="15"/>
              </w:rPr>
              <w:t>MAPS TO</w:t>
            </w:r>
          </w:p>
          <w:p>
            <w:r>
              <w:rPr>
                <w:color w:val="111827"/>
                <w:sz w:val="18"/>
              </w:rPr>
              <w:t>LU4</w:t>
            </w:r>
          </w:p>
        </w:tc>
        <w:tc>
          <w:tcPr>
            <w:tcW w:type="dxa" w:w="2419"/>
            <w:shd w:val="clear" w:color="auto" w:fill="F5F8FC"/>
          </w:tcPr>
          <w:p>
            <w:r>
              <w:rPr>
                <w:b/>
                <w:color w:val="1F6FEB"/>
                <w:sz w:val="15"/>
              </w:rPr>
              <w:t>TOPIC</w:t>
            </w:r>
          </w:p>
          <w:p>
            <w:r>
              <w:rPr>
                <w:color w:val="111827"/>
                <w:sz w:val="18"/>
              </w:rPr>
              <w:t>LU4 — Branding Effectiveness</w:t>
            </w:r>
          </w:p>
        </w:tc>
      </w:tr>
    </w:tbl>
    <w:p/>
    <w:p>
      <w:pPr>
        <w:pStyle w:val="Heading2"/>
      </w:pPr>
      <w:r>
        <w:t>Purpose of this activity</w:t>
      </w:r>
    </w:p>
    <w:p>
      <w:r>
        <w:t>By the end of this activity learners will be able to provide suggestions to improve public-relations campaign effectiveness (LU4).</w:t>
      </w:r>
    </w:p>
    <w:p>
      <w:pPr>
        <w:pStyle w:val="Heading2"/>
      </w:pPr>
      <w:r>
        <w:t>What learners produce</w:t>
      </w:r>
    </w:p>
    <w:p>
      <w:r>
        <w:t>An AMEC audit across Inputs, Outputs, Outcomes and Impact, with the weakest stage evidenced and three recommendations each fixing a different stage.</w:t>
      </w:r>
    </w:p>
    <w:p>
      <w:pPr>
        <w:pStyle w:val="Heading2"/>
      </w:pPr>
      <w:r>
        <w:t>Materials required</w:t>
      </w:r>
    </w:p>
    <w:p>
      <w:pPr>
        <w:pStyle w:val="ListBullet"/>
      </w:pPr>
      <w:r>
        <w:t>Learner Worksheet (one per learner)</w:t>
      </w:r>
    </w:p>
    <w:p>
      <w:pPr>
        <w:pStyle w:val="ListBullet"/>
      </w:pPr>
      <w:r>
        <w:t>Checklist (one per group)</w:t>
      </w:r>
    </w:p>
    <w:p>
      <w:pPr>
        <w:pStyle w:val="ListBullet"/>
      </w:pPr>
      <w:r>
        <w:t>Flipchart or A3 sheet and markers</w:t>
      </w:r>
    </w:p>
    <w:p>
      <w:pPr>
        <w:pStyle w:val="ListBullet"/>
      </w:pPr>
      <w:r>
        <w:t>The course slides for the scenario and framework</w:t>
      </w:r>
    </w:p>
    <w:p>
      <w:pPr>
        <w:pStyle w:val="ListBullet"/>
      </w:pPr>
      <w:r>
        <w:t>Internet access where the activity calls for live research</w:t>
      </w:r>
    </w:p>
    <w:p>
      <w:pPr>
        <w:pStyle w:val="Heading2"/>
      </w:pPr>
      <w:r>
        <w:t>Set-up</w:t>
      </w:r>
    </w:p>
    <w:p>
      <w:r>
        <w:t>Groups of 3–5. Distribute one worksheet per learner and one checklist per group. All 17 activities run on the same continuous Nimbus Wellness scenario, so remind learners of where this activity sits in that story before you start.</w:t>
      </w:r>
    </w:p>
    <w:p>
      <w:pPr>
        <w:pStyle w:val="Heading2"/>
      </w:pPr>
      <w:r>
        <w:t>Scenario / briefing material</w:t>
      </w:r>
    </w:p>
    <w:p>
      <w:r>
        <w:t>It's now two months after the 5th-anniversary relaunch. The Board has seen the KPI dashboard designed in the last activity, and the numbers are mixed: impressions are up sharply, but the "doesn't feel personal anymore" sentiment has only partly recovered, and one retail partner is still hesitant to expand shelf space.</w:t>
      </w:r>
    </w:p>
    <w:p>
      <w:r>
        <w:t>The founder wants one final audit before she reports to the Board — not a scorecard of what Nimbus did, but a verdict on whether the relaunch campaign actually worked, and three concrete recommendations for what happens next.</w:t>
      </w:r>
    </w:p>
    <w:p>
      <w:r>
        <w:t>This is the same audit the Board will expect Nimbus to repeat after every future campaign — so your table isn't just closing out the relaunch, it's building the habit the brand will run on going forward.</w:t>
      </w:r>
    </w:p>
    <w:p>
      <w:pPr>
        <w:pStyle w:val="Heading2"/>
      </w:pPr>
      <w:r>
        <w:t>How to run it — step by step</w:t>
      </w:r>
    </w:p>
    <w:tbl>
      <w:tblPr>
        <w:tblStyle w:val="TableGrid"/>
        <w:tblW w:type="auto" w:w="0"/>
        <w:tblLook w:firstColumn="1" w:firstRow="1" w:lastColumn="0" w:lastRow="0" w:noHBand="0" w:noVBand="1" w:val="04A0"/>
      </w:tblPr>
      <w:tblGrid>
        <w:gridCol w:w="3226"/>
        <w:gridCol w:w="3226"/>
        <w:gridCol w:w="3226"/>
      </w:tblGrid>
      <w:tr>
        <w:tc>
          <w:tcPr>
            <w:tcW w:type="dxa" w:w="3226"/>
            <w:shd w:val="clear" w:color="auto" w:fill="1F6FEB"/>
          </w:tcPr>
          <w:p>
            <w:r/>
            <w:r>
              <w:rPr>
                <w:b/>
                <w:color w:val="FFFFFF"/>
                <w:sz w:val="19"/>
              </w:rPr>
              <w:t>#</w:t>
            </w:r>
          </w:p>
        </w:tc>
        <w:tc>
          <w:tcPr>
            <w:tcW w:type="dxa" w:w="3226"/>
            <w:shd w:val="clear" w:color="auto" w:fill="1F6FEB"/>
          </w:tcPr>
          <w:p>
            <w:r/>
            <w:r>
              <w:rPr>
                <w:b/>
                <w:color w:val="FFFFFF"/>
                <w:sz w:val="19"/>
              </w:rPr>
              <w:t>Instruction to learners</w:t>
            </w:r>
          </w:p>
        </w:tc>
        <w:tc>
          <w:tcPr>
            <w:tcW w:type="dxa" w:w="3226"/>
            <w:shd w:val="clear" w:color="auto" w:fill="1F6FEB"/>
          </w:tcPr>
          <w:p>
            <w:r/>
            <w:r>
              <w:rPr>
                <w:b/>
                <w:color w:val="FFFFFF"/>
                <w:sz w:val="19"/>
              </w:rPr>
              <w:t>Facilitator note</w:t>
            </w:r>
          </w:p>
        </w:tc>
      </w:tr>
      <w:tr>
        <w:tc>
          <w:tcPr>
            <w:tcW w:type="dxa" w:w="3226"/>
          </w:tcPr>
          <w:p>
            <w:r/>
            <w:r>
              <w:rPr>
                <w:sz w:val="19"/>
              </w:rPr>
              <w:t>1</w:t>
            </w:r>
          </w:p>
        </w:tc>
        <w:tc>
          <w:tcPr>
            <w:tcW w:type="dxa" w:w="3226"/>
          </w:tcPr>
          <w:p>
            <w:r/>
            <w:r>
              <w:rPr>
                <w:b/>
                <w:sz w:val="19"/>
              </w:rPr>
              <w:t xml:space="preserve">Define the four AMEC stages. </w:t>
            </w:r>
            <w:r>
              <w:rPr>
                <w:sz w:val="19"/>
              </w:rPr>
              <w:t>Inputs = what you invested (budget, time, people). Outputs = what you produced and distributed (posts, coverage, events). Outcomes = what changed in the audience (awareness, sentiment, intent). Impact = what changed for the organisation (revenue, reputation, shelf space). Write these down before mapping anything.</w:t>
            </w:r>
          </w:p>
        </w:tc>
        <w:tc>
          <w:tcPr>
            <w:tcW w:type="dxa" w:w="3226"/>
          </w:tcPr>
          <w:p>
            <w:r/>
            <w:r>
              <w:rPr>
                <w:sz w:val="18"/>
              </w:rPr>
              <w:t>This is the capstone — encourage tables to pull evidence from earlier activities rather than treating it as standalone.</w:t>
            </w:r>
          </w:p>
        </w:tc>
      </w:tr>
      <w:tr>
        <w:tc>
          <w:tcPr>
            <w:tcW w:type="dxa" w:w="3226"/>
            <w:shd w:val="clear" w:color="auto" w:fill="F5F8FC"/>
          </w:tcPr>
          <w:p>
            <w:r/>
            <w:r>
              <w:rPr>
                <w:sz w:val="19"/>
              </w:rPr>
              <w:t>2</w:t>
            </w:r>
          </w:p>
        </w:tc>
        <w:tc>
          <w:tcPr>
            <w:tcW w:type="dxa" w:w="3226"/>
            <w:shd w:val="clear" w:color="auto" w:fill="F5F8FC"/>
          </w:tcPr>
          <w:p>
            <w:r/>
            <w:r>
              <w:rPr>
                <w:b/>
                <w:sz w:val="19"/>
              </w:rPr>
              <w:t xml:space="preserve">Map the relaunch to each stage. </w:t>
            </w:r>
            <w:r>
              <w:rPr>
                <w:sz w:val="19"/>
              </w:rPr>
              <w:t>Place the actual evidence from the whole Nimbus arc into the four stages — the budget from Activity 12, the channels and experience from Activity 11, the platform audit from Activity 13, the health scorecard from Activity 14.</w:t>
            </w:r>
          </w:p>
        </w:tc>
        <w:tc>
          <w:tcPr>
            <w:tcW w:type="dxa" w:w="3226"/>
            <w:shd w:val="clear" w:color="auto" w:fill="F5F8FC"/>
          </w:tcPr>
          <w:p>
            <w:r/>
            <w:r>
              <w:rPr>
                <w:sz w:val="18"/>
              </w:rPr>
              <w:t>Reject three recommendations that all amount to 'measure more'; that is the single most common failure here.</w:t>
            </w:r>
          </w:p>
        </w:tc>
      </w:tr>
      <w:tr>
        <w:tc>
          <w:tcPr>
            <w:tcW w:type="dxa" w:w="3226"/>
          </w:tcPr>
          <w:p>
            <w:r/>
            <w:r>
              <w:rPr>
                <w:sz w:val="19"/>
              </w:rPr>
              <w:t>3</w:t>
            </w:r>
          </w:p>
        </w:tc>
        <w:tc>
          <w:tcPr>
            <w:tcW w:type="dxa" w:w="3226"/>
          </w:tcPr>
          <w:p>
            <w:r/>
            <w:r>
              <w:rPr>
                <w:b/>
                <w:sz w:val="19"/>
              </w:rPr>
              <w:t xml:space="preserve">Find where the evidence thins. </w:t>
            </w:r>
            <w:r>
              <w:rPr>
                <w:sz w:val="19"/>
              </w:rPr>
              <w:t>Move up the chain and mark where evidence gets weakest. It is almost always Outcomes and Impact: Inputs and Outputs are easy to count, while changes in belief and business results are harder and are usually not instrumented in advance.</w:t>
            </w:r>
          </w:p>
        </w:tc>
        <w:tc>
          <w:tcPr>
            <w:tcW w:type="dxa" w:w="3226"/>
          </w:tcPr>
          <w:p>
            <w:r/>
            <w:r>
              <w:rPr>
                <w:sz w:val="18"/>
              </w:rPr>
            </w:r>
          </w:p>
        </w:tc>
      </w:tr>
      <w:tr>
        <w:tc>
          <w:tcPr>
            <w:tcW w:type="dxa" w:w="3226"/>
            <w:shd w:val="clear" w:color="auto" w:fill="F5F8FC"/>
          </w:tcPr>
          <w:p>
            <w:r/>
            <w:r>
              <w:rPr>
                <w:sz w:val="19"/>
              </w:rPr>
              <w:t>4</w:t>
            </w:r>
          </w:p>
        </w:tc>
        <w:tc>
          <w:tcPr>
            <w:tcW w:type="dxa" w:w="3226"/>
            <w:shd w:val="clear" w:color="auto" w:fill="F5F8FC"/>
          </w:tcPr>
          <w:p>
            <w:r/>
            <w:r>
              <w:rPr>
                <w:b/>
                <w:sz w:val="19"/>
              </w:rPr>
              <w:t xml:space="preserve">Diagnose the central pattern. </w:t>
            </w:r>
            <w:r>
              <w:rPr>
                <w:sz w:val="19"/>
              </w:rPr>
              <w:t>Impressions up, sentiment only partly recovered. Classify it precisely: an Outputs success and an Outcomes shortfall. Nimbus successfully produced and distributed the campaign; it did not fully change what people believe.</w:t>
            </w:r>
          </w:p>
        </w:tc>
        <w:tc>
          <w:tcPr>
            <w:tcW w:type="dxa" w:w="3226"/>
            <w:shd w:val="clear" w:color="auto" w:fill="F5F8FC"/>
          </w:tcPr>
          <w:p>
            <w:r/>
            <w:r>
              <w:rPr>
                <w:sz w:val="18"/>
              </w:rPr>
            </w:r>
          </w:p>
        </w:tc>
      </w:tr>
      <w:tr>
        <w:tc>
          <w:tcPr>
            <w:tcW w:type="dxa" w:w="3226"/>
          </w:tcPr>
          <w:p>
            <w:r/>
            <w:r>
              <w:rPr>
                <w:sz w:val="19"/>
              </w:rPr>
              <w:t>5</w:t>
            </w:r>
          </w:p>
        </w:tc>
        <w:tc>
          <w:tcPr>
            <w:tcW w:type="dxa" w:w="3226"/>
          </w:tcPr>
          <w:p>
            <w:r/>
            <w:r>
              <w:rPr>
                <w:b/>
                <w:sz w:val="19"/>
              </w:rPr>
              <w:t xml:space="preserve">Read the retail-partner signal. </w:t>
            </w:r>
            <w:r>
              <w:rPr>
                <w:sz w:val="19"/>
              </w:rPr>
              <w:t>One retail partner is still hesitant on shelf space. Place that at Impact — it is the clearest evidence that business results have not yet followed the activity, and it connects straight back to the Activity 1 stakeholder who wanted proof.</w:t>
            </w:r>
          </w:p>
        </w:tc>
        <w:tc>
          <w:tcPr>
            <w:tcW w:type="dxa" w:w="3226"/>
          </w:tcPr>
          <w:p>
            <w:r/>
            <w:r>
              <w:rPr>
                <w:sz w:val="18"/>
              </w:rPr>
            </w:r>
          </w:p>
        </w:tc>
      </w:tr>
      <w:tr>
        <w:tc>
          <w:tcPr>
            <w:tcW w:type="dxa" w:w="3226"/>
            <w:shd w:val="clear" w:color="auto" w:fill="F5F8FC"/>
          </w:tcPr>
          <w:p>
            <w:r/>
            <w:r>
              <w:rPr>
                <w:sz w:val="19"/>
              </w:rPr>
              <w:t>6</w:t>
            </w:r>
          </w:p>
        </w:tc>
        <w:tc>
          <w:tcPr>
            <w:tcW w:type="dxa" w:w="3226"/>
            <w:shd w:val="clear" w:color="auto" w:fill="F5F8FC"/>
          </w:tcPr>
          <w:p>
            <w:r/>
            <w:r>
              <w:rPr>
                <w:b/>
                <w:sz w:val="19"/>
              </w:rPr>
              <w:t xml:space="preserve">Name the measurement gap. </w:t>
            </w:r>
            <w:r>
              <w:rPr>
                <w:sz w:val="19"/>
              </w:rPr>
              <w:t>State the single biggest gap between what Nimbus measured and what the Board needed to know. Usually: Nimbus measured what it did, while the Board wanted to know what changed.</w:t>
            </w:r>
          </w:p>
        </w:tc>
        <w:tc>
          <w:tcPr>
            <w:tcW w:type="dxa" w:w="3226"/>
            <w:shd w:val="clear" w:color="auto" w:fill="F5F8FC"/>
          </w:tcPr>
          <w:p>
            <w:r/>
            <w:r>
              <w:rPr>
                <w:sz w:val="18"/>
              </w:rPr>
            </w:r>
          </w:p>
        </w:tc>
      </w:tr>
      <w:tr>
        <w:tc>
          <w:tcPr>
            <w:tcW w:type="dxa" w:w="3226"/>
          </w:tcPr>
          <w:p>
            <w:r/>
            <w:r>
              <w:rPr>
                <w:sz w:val="19"/>
              </w:rPr>
              <w:t>7</w:t>
            </w:r>
          </w:p>
        </w:tc>
        <w:tc>
          <w:tcPr>
            <w:tcW w:type="dxa" w:w="3226"/>
          </w:tcPr>
          <w:p>
            <w:r/>
            <w:r>
              <w:rPr>
                <w:b/>
                <w:sz w:val="19"/>
              </w:rPr>
              <w:t xml:space="preserve">Write three stage-specific recommendations. </w:t>
            </w:r>
            <w:r>
              <w:rPr>
                <w:sz w:val="19"/>
              </w:rPr>
              <w:t>One recommendation each for three different AMEC stages. Three variations of 'measure more' is a failed audit — each must fix a structurally different problem, such as baselining before launch (Outcomes), instrumenting shelf-space and repeat-purchase (Impact), and reallocating spend (Inputs).</w:t>
            </w:r>
          </w:p>
        </w:tc>
        <w:tc>
          <w:tcPr>
            <w:tcW w:type="dxa" w:w="3226"/>
          </w:tcPr>
          <w:p>
            <w:r/>
            <w:r>
              <w:rPr>
                <w:sz w:val="18"/>
              </w:rPr>
            </w:r>
          </w:p>
        </w:tc>
      </w:tr>
      <w:tr>
        <w:tc>
          <w:tcPr>
            <w:tcW w:type="dxa" w:w="3226"/>
            <w:shd w:val="clear" w:color="auto" w:fill="F5F8FC"/>
          </w:tcPr>
          <w:p>
            <w:r/>
            <w:r>
              <w:rPr>
                <w:sz w:val="19"/>
              </w:rPr>
              <w:t>8</w:t>
            </w:r>
          </w:p>
        </w:tc>
        <w:tc>
          <w:tcPr>
            <w:tcW w:type="dxa" w:w="3226"/>
            <w:shd w:val="clear" w:color="auto" w:fill="F5F8FC"/>
          </w:tcPr>
          <w:p>
            <w:r/>
            <w:r>
              <w:rPr>
                <w:b/>
                <w:sz w:val="19"/>
              </w:rPr>
              <w:t xml:space="preserve">Make it repeatable. </w:t>
            </w:r>
            <w:r>
              <w:rPr>
                <w:sz w:val="19"/>
              </w:rPr>
              <w:t>Specify when this audit runs after every future campaign, who owns it, and which template it uses — closing the loop with the documentation framework from Activity 7.</w:t>
            </w:r>
          </w:p>
        </w:tc>
        <w:tc>
          <w:tcPr>
            <w:tcW w:type="dxa" w:w="3226"/>
            <w:shd w:val="clear" w:color="auto" w:fill="F5F8FC"/>
          </w:tcPr>
          <w:p>
            <w:r/>
            <w:r>
              <w:rPr>
                <w:sz w:val="18"/>
              </w:rPr>
            </w:r>
          </w:p>
        </w:tc>
      </w:tr>
    </w:tbl>
    <w:p>
      <w:pPr>
        <w:pStyle w:val="Heading2"/>
      </w:pPr>
      <w:r>
        <w:t>Suggested timing</w:t>
      </w:r>
    </w:p>
    <w:tbl>
      <w:tblPr>
        <w:tblStyle w:val="TableGrid"/>
        <w:tblW w:type="auto" w:w="0"/>
        <w:tblLook w:firstColumn="1" w:firstRow="1" w:lastColumn="0" w:lastRow="0" w:noHBand="0" w:noVBand="1" w:val="04A0"/>
      </w:tblPr>
      <w:tblGrid>
        <w:gridCol w:w="4839"/>
        <w:gridCol w:w="4839"/>
      </w:tblGrid>
      <w:tr>
        <w:tc>
          <w:tcPr>
            <w:tcW w:type="dxa" w:w="4839"/>
            <w:shd w:val="clear" w:color="auto" w:fill="1F6FEB"/>
          </w:tcPr>
          <w:p>
            <w:r/>
            <w:r>
              <w:rPr>
                <w:b/>
                <w:color w:val="FFFFFF"/>
                <w:sz w:val="19"/>
              </w:rPr>
              <w:t>Minutes</w:t>
            </w:r>
          </w:p>
        </w:tc>
        <w:tc>
          <w:tcPr>
            <w:tcW w:type="dxa" w:w="4839"/>
            <w:shd w:val="clear" w:color="auto" w:fill="1F6FEB"/>
          </w:tcPr>
          <w:p>
            <w:r/>
            <w:r>
              <w:rPr>
                <w:b/>
                <w:color w:val="FFFFFF"/>
                <w:sz w:val="19"/>
              </w:rPr>
              <w:t>Phase</w:t>
            </w:r>
          </w:p>
        </w:tc>
      </w:tr>
      <w:tr>
        <w:tc>
          <w:tcPr>
            <w:tcW w:type="dxa" w:w="4839"/>
          </w:tcPr>
          <w:p>
            <w:r/>
            <w:r>
              <w:rPr>
                <w:sz w:val="19"/>
              </w:rPr>
              <w:t>4 min</w:t>
            </w:r>
          </w:p>
        </w:tc>
        <w:tc>
          <w:tcPr>
            <w:tcW w:type="dxa" w:w="4839"/>
          </w:tcPr>
          <w:p>
            <w:r/>
            <w:r>
              <w:rPr>
                <w:sz w:val="19"/>
              </w:rPr>
              <w:t>Map the relaunch onto the four AMEC stages</w:t>
            </w:r>
          </w:p>
        </w:tc>
      </w:tr>
      <w:tr>
        <w:tc>
          <w:tcPr>
            <w:tcW w:type="dxa" w:w="4839"/>
          </w:tcPr>
          <w:p>
            <w:r/>
            <w:r>
              <w:rPr>
                <w:sz w:val="19"/>
              </w:rPr>
              <w:t>7 min</w:t>
            </w:r>
          </w:p>
        </w:tc>
        <w:tc>
          <w:tcPr>
            <w:tcW w:type="dxa" w:w="4839"/>
          </w:tcPr>
          <w:p>
            <w:r/>
            <w:r>
              <w:rPr>
                <w:sz w:val="19"/>
              </w:rPr>
              <w:t>Find the stage where evidence gets weakest</w:t>
            </w:r>
          </w:p>
        </w:tc>
      </w:tr>
      <w:tr>
        <w:tc>
          <w:tcPr>
            <w:tcW w:type="dxa" w:w="4839"/>
          </w:tcPr>
          <w:p>
            <w:r/>
            <w:r>
              <w:rPr>
                <w:sz w:val="19"/>
              </w:rPr>
              <w:t>6 min</w:t>
            </w:r>
          </w:p>
        </w:tc>
        <w:tc>
          <w:tcPr>
            <w:tcW w:type="dxa" w:w="4839"/>
          </w:tcPr>
          <w:p>
            <w:r/>
            <w:r>
              <w:rPr>
                <w:sz w:val="19"/>
              </w:rPr>
              <w:t>Diagnose the impressions-up / sentiment-flat pattern</w:t>
            </w:r>
          </w:p>
        </w:tc>
      </w:tr>
      <w:tr>
        <w:tc>
          <w:tcPr>
            <w:tcW w:type="dxa" w:w="4839"/>
          </w:tcPr>
          <w:p>
            <w:r/>
            <w:r>
              <w:rPr>
                <w:sz w:val="19"/>
              </w:rPr>
              <w:t>5 min</w:t>
            </w:r>
          </w:p>
        </w:tc>
        <w:tc>
          <w:tcPr>
            <w:tcW w:type="dxa" w:w="4839"/>
          </w:tcPr>
          <w:p>
            <w:r/>
            <w:r>
              <w:rPr>
                <w:sz w:val="19"/>
              </w:rPr>
              <w:t>Write three stage-specific recommendations</w:t>
            </w:r>
          </w:p>
        </w:tc>
      </w:tr>
      <w:tr>
        <w:tc>
          <w:tcPr>
            <w:tcW w:type="dxa" w:w="4839"/>
          </w:tcPr>
          <w:p>
            <w:r/>
            <w:r>
              <w:rPr>
                <w:sz w:val="19"/>
              </w:rPr>
              <w:t>3 min</w:t>
            </w:r>
          </w:p>
        </w:tc>
        <w:tc>
          <w:tcPr>
            <w:tcW w:type="dxa" w:w="4839"/>
          </w:tcPr>
          <w:p>
            <w:r/>
            <w:r>
              <w:rPr>
                <w:sz w:val="19"/>
              </w:rPr>
              <w:t>Turn the audit into a repeatable habit</w:t>
            </w:r>
          </w:p>
        </w:tc>
      </w:tr>
    </w:tbl>
    <w:p>
      <w:r>
        <w:rPr>
          <w:b/>
          <w:sz w:val="19"/>
        </w:rPr>
        <w:t>Total: 25 minutes</w:t>
      </w:r>
    </w:p>
    <w:p>
      <w:pPr>
        <w:pStyle w:val="Heading2"/>
      </w:pPr>
      <w:r>
        <w:t>Discussion &amp; decision prompts</w:t>
      </w:r>
    </w:p>
    <w:p>
      <w:pPr>
        <w:pStyle w:val="ListNumber"/>
      </w:pPr>
      <w:r>
        <w:t>Run the relaunch campaign through AMEC's Inputs → Outputs → Outcomes → Impact chain — at which stage does the evidence get weakest?</w:t>
      </w:r>
    </w:p>
    <w:p>
      <w:pPr>
        <w:pStyle w:val="ListNumber"/>
      </w:pPr>
      <w:r>
        <w:t>Impressions are up but the "feels personal" sentiment has only partly recovered — is that an Outputs success but an Outcomes failure, or something else?</w:t>
      </w:r>
    </w:p>
    <w:p>
      <w:pPr>
        <w:pStyle w:val="ListNumber"/>
      </w:pPr>
      <w:r>
        <w:t>What would you tell the founder is the single biggest gap between what Nimbus measured and what the Board actually needed to know?</w:t>
      </w:r>
    </w:p>
    <w:p>
      <w:pPr>
        <w:pStyle w:val="ListNumber"/>
      </w:pPr>
      <w:r>
        <w:t>What three recommendations would you make for the next campaign, and which AMEC stage does each one fix?</w:t>
      </w:r>
    </w:p>
    <w:p>
      <w:pPr>
        <w:pStyle w:val="Heading2"/>
      </w:pPr>
      <w:r>
        <w:t>Debrief</w:t>
      </w:r>
    </w:p>
    <w:p>
      <w:r>
        <w:t>Bring the class back together and draw out the learning:</w:t>
      </w:r>
    </w:p>
    <w:p>
      <w:pPr>
        <w:pStyle w:val="ListBullet"/>
      </w:pPr>
      <w:r>
        <w:t>Ask two or three groups to show what they produced, not just what they concluded.</w:t>
      </w:r>
    </w:p>
    <w:p>
      <w:pPr>
        <w:pStyle w:val="ListBullet"/>
      </w:pPr>
      <w:r>
        <w:t>Ask what surprised them — the gap between what they assumed and what they found.</w:t>
      </w:r>
    </w:p>
    <w:p>
      <w:pPr>
        <w:pStyle w:val="ListBullet"/>
      </w:pPr>
      <w:r>
        <w:t>Link the activity explicitly back to LU4 — Branding Effectiveness.</w:t>
      </w:r>
    </w:p>
    <w:p>
      <w:pPr>
        <w:pStyle w:val="ListBullet"/>
      </w:pPr>
      <w:r>
        <w:t>Remind learners this activity rehearses what the Case Study assessment will require.</w:t>
      </w:r>
    </w:p>
    <w:p>
      <w:r>
        <w:t>Reflection questions:</w:t>
      </w:r>
    </w:p>
    <w:p>
      <w:pPr>
        <w:pStyle w:val="ListBullet"/>
      </w:pPr>
      <w:r>
        <w:t>Looking back across all five LU4 activities, which measurement habit would have caught today's gap earliest — the reputation audit, the brand-health scorecard, or the KPI dashboard?</w:t>
      </w:r>
    </w:p>
    <w:p>
      <w:pPr>
        <w:pStyle w:val="ListBullet"/>
      </w:pPr>
      <w:r>
        <w:t>Did your table's recommendations fix the root cause, or just add another metric to track?</w:t>
      </w:r>
    </w:p>
    <w:p>
      <w:pPr>
        <w:pStyle w:val="ListBullet"/>
      </w:pPr>
      <w:r>
        <w:t>If Nimbus only adopts one habit from this whole course to run every future campaign by, what should it be?</w:t>
      </w:r>
    </w:p>
    <w:p>
      <w:pPr>
        <w:pStyle w:val="Heading2"/>
      </w:pPr>
      <w:r>
        <w:t>Facilitator notes — what to watch for</w:t>
      </w:r>
    </w:p>
    <w:p>
      <w:pPr>
        <w:pStyle w:val="ListBullet"/>
      </w:pPr>
      <w:r>
        <w:t>This is the capstone — encourage tables to pull evidence from earlier activities rather than treating it as standalone.</w:t>
      </w:r>
    </w:p>
    <w:p>
      <w:pPr>
        <w:pStyle w:val="ListBullet"/>
      </w:pPr>
      <w:r>
        <w:t>Reject three recommendations that all amount to 'measure more'; that is the single most common failure here.</w:t>
      </w:r>
    </w:p>
    <w:p>
      <w:pPr>
        <w:pStyle w:val="Heading2"/>
      </w:pPr>
      <w:r>
        <w:t>Success criterion</w:t>
      </w:r>
    </w:p>
    <w:p>
      <w:r>
        <w:t>Every group can map the relaunch campaign to all four AMEC stages (Inputs, Outputs, Outcomes, Impact), name the weakest stage with evidence, and give three recommendations that each fix a different stage — not three versions of the same idea.</w:t>
      </w:r>
    </w:p>
    <w:p>
      <w:pPr>
        <w:pStyle w:val="Heading2"/>
      </w:pPr>
      <w:r>
        <w:t>Assessment link</w:t>
      </w:r>
    </w:p>
    <w:p>
      <w:r>
        <w:t>This activity builds LU4 — Branding Effectiveness. All 17 activities are in-class activities assessed indirectly through the open-book Case Study (CS) component, which reuses the same techniques on the same continuous Nimbus Wellness scenario. Knowledge is assessed in the Written Assessment (WA-SAQ). Nothing is assessed that is not practised here or taught in the slides.</w:t>
      </w:r>
    </w:p>
    <w:p>
      <w:r>
        <w:rPr>
          <w:i/>
          <w:color w:val="555B66"/>
          <w:sz w:val="16"/>
        </w:rPr>
        <w:t>Customer-Centric Branding and Communication Tactics · TGS-2026061321 · Version v8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