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ANSWER KEY — CASE STUDY (CS) ASSESSMENT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Customer-Centric Branding and Communication Tactics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TGS-2026061321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color w:val="1F6FEB"/>
          <w:sz w:val="30"/>
        </w:rPr>
        <w:t>Case Study (CS) Assessment — Model Answers (Marking Guide)</w:t>
      </w:r>
    </w:p>
    <w:p>
      <w:pPr>
        <w:spacing w:after="240"/>
        <w:jc w:val="center"/>
      </w:pPr>
      <w:r>
        <w:rPr>
          <w:rFonts w:ascii="Arial" w:hAnsi="Arial"/>
          <w:b w:val="0"/>
          <w:color w:val="555B66"/>
          <w:sz w:val="20"/>
        </w:rPr>
        <w:t>Course Code: TGS-2026061321</w:t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>Note to assessor:</w:t>
      </w:r>
    </w:p>
    <w:p>
      <w:pPr>
        <w:spacing w:after="160"/>
      </w:pPr>
      <w:r>
        <w:rPr>
          <w:rFonts w:ascii="Arial" w:hAnsi="Arial"/>
          <w:b w:val="0"/>
          <w:color w:val="161B26"/>
          <w:sz w:val="22"/>
        </w:rPr>
        <w:t>Each task maps to one ability criterion (A1–A4) and to the in-class activities the candidate completed — the model answer is drawn from the activity build steps. Award Competent (C) where the candidate produces (or correctly describes) a plan that covers the points below; exact wording will vary.</w:t>
      </w:r>
    </w:p>
    <w:p>
      <w:pPr>
        <w:spacing w:after="80"/>
      </w:pPr>
      <w:r>
        <w:rPr>
          <w:rFonts w:ascii="Arial" w:hAnsi="Arial"/>
          <w:b/>
          <w:color w:val="161B26"/>
          <w:sz w:val="24"/>
        </w:rPr>
        <w:t>C. Case Study</w:t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>Scenario: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  <w:t>Nimbus Wellness Pte Ltd is a Singapore-based boutique skincare and wellness brand with 25 staff across Retail, Marketing, Customer Service and Operations. Since a competitor's viral campaign six months ago, Nimbus has seen its social-media engagement fall and a rise in mixed reviews questioning whether the brand still understands its customers. Leadership wants a customer-centric branding and communication plan built entirely using the techniques practised in class, before the brand's 5th-anniversary relaunch campaign in three months.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Marketing believes the product quality is unchanged, but online reviews increasingly say the brand "doesn't feel personal anymore" — a possible perception gap.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The founder wants a refreshed brand identity for the relaunch, but different teams describe the brand's values inconsistently in customer-facing material.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The relaunch needs a multi-channel awareness campaign with a bounded PR budget approved by the CEO.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The Board wants ongoing proof, after the relaunch, that the campaign actually improved the brand's reputation and not just its impressions.</w:t>
      </w:r>
    </w:p>
    <w:p>
      <w:pPr>
        <w:spacing w:after="160"/>
      </w:pPr>
      <w:r>
        <w:rPr>
          <w:rFonts w:ascii="Arial" w:hAnsi="Arial"/>
          <w:b w:val="0"/>
          <w:color w:val="161B26"/>
          <w:sz w:val="22"/>
        </w:rPr>
        <w:t>Using exactly the techniques you practised in the in-class activities, complete the four tasks below for Nimbus Wellness.</w:t>
      </w:r>
    </w:p>
    <w:p>
      <w:pPr>
        <w:spacing w:after="40"/>
      </w:pPr>
      <w:r>
        <w:rPr>
          <w:rFonts w:ascii="Arial" w:hAnsi="Arial"/>
          <w:b/>
          <w:color w:val="1F6FEB"/>
          <w:sz w:val="24"/>
        </w:rPr>
        <w:t>Question 1 (A1) — Model Answer</w:t>
      </w:r>
    </w:p>
    <w:p>
      <w:pPr>
        <w:spacing w:after="80"/>
      </w:pPr>
      <w:r>
        <w:rPr>
          <w:rFonts w:ascii="Arial" w:hAnsi="Arial"/>
          <w:b/>
          <w:color w:val="161B26"/>
          <w:sz w:val="22"/>
        </w:rPr>
        <w:t xml:space="preserve">Reference: </w:t>
      </w:r>
      <w:r>
        <w:rPr>
          <w:rFonts w:ascii="Arial" w:hAnsi="Arial"/>
          <w:b w:val="0"/>
          <w:color w:val="161B26"/>
          <w:sz w:val="22"/>
        </w:rPr>
        <w:t>Activities 1–4 — Stakeholder Influence Mapping, Audience Mapping Workshop, Brand Attribute Mapping, Digital Reputation Audit Exercise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Suggestive answers (not exhaustive):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Stakeholder Influence Mapping: A stakeholder influence matrix (12 stakeholders) with an engagement strategy for each group.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List 6 internal and 6 external stakeholders for the sustainability initiative.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Rate each stakeholder's influence on a 1–5 scale.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Identify each stakeholder's primary brand concern.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Design a specific communication approach for each group.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Audience Mapping Workshop: An audience mapping matrix covering 4 external segments with tailored messaging and channels.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Identify four primary external audience segments for the product.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Research the demographic and psychographic profile of each segment.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Create a tailored key message for each segment, emphasising the relevant benefit.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Select the appropriate communication channel(s) for each audience.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Present the audience mapping matrix with its messaging strategy.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Brand Attribute Mapping: A brand attribute map (3 hard + 3 soft attributes), a mood board and a logo concept.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List 3 hard attributes and 3 soft attributes for the fitness app.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Create a visual mood board that represents the brand personality.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Design a logo concept that incorporates the key attributes.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Present a brand narrative that connects the features to the benefits.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Digital Reputation Audit Exercise: A reputation-assessment report covering 3 platforms with sentiment breakdown and an action plan.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Select three platforms (e.g. Google, Facebook, one competitor platform).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Document 10 recent mentions/reviews per platform.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Categorise each piece of feedback as positive, neutral or negative.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Identify three recurring themes or issues across the feedback.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Develop a targeted response strategy for each theme.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p>
      <w:pPr>
        <w:spacing w:after="40"/>
      </w:pPr>
      <w:r>
        <w:rPr>
          <w:rFonts w:ascii="Arial" w:hAnsi="Arial"/>
          <w:b/>
          <w:color w:val="1F6FEB"/>
          <w:sz w:val="24"/>
        </w:rPr>
        <w:t>Question 2 (A2) — Model Answer</w:t>
      </w:r>
    </w:p>
    <w:p>
      <w:pPr>
        <w:spacing w:after="80"/>
      </w:pPr>
      <w:r>
        <w:rPr>
          <w:rFonts w:ascii="Arial" w:hAnsi="Arial"/>
          <w:b/>
          <w:color w:val="161B26"/>
          <w:sz w:val="22"/>
        </w:rPr>
        <w:t xml:space="preserve">Reference: </w:t>
      </w:r>
      <w:r>
        <w:rPr>
          <w:rFonts w:ascii="Arial" w:hAnsi="Arial"/>
          <w:b w:val="0"/>
          <w:color w:val="161B26"/>
          <w:sz w:val="22"/>
        </w:rPr>
        <w:t>Activities 5–8 — Brand Perception Audit, Brand Advocacy Assessment, Campaign Documentation Audit, Customer Perspective Analysis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Suggestive answers (not exhaustive):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Brand Perception Audit: A perception-gap analysis report comparing internal quality metrics with customer feedback.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Survey 20 recent customers about their service experience.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Compare internal quality metrics with the customer feedback.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Identify the top 3 perception gaps.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Develop an action plan to address the gaps.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Brand Advocacy Assessment: A customer-advocacy strategy document with target impact metrics.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Review the provided customer feedback data.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Identify satisfied customers for the advocacy programme.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Design an advocacy campaign that leverages their positive experiences.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Present the strategy together with its expected impact metrics.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Campaign Documentation Audit: A structured campaign-reception report with metrics, analysis and optimisation recommendations.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Identify three key metrics from the campaign data.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Analyse customer feedback patterns and sentiment trends.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Create a documentation framework for ongoing measurement.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Present the findings with actionable recommendations.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Customer Perspective Analysis: A completed customer-perspective analysis report with actionable insights.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Apply the 3 P's framework — Presence, Patience, Paraphrasing — during the conversation.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Identify the emotions behind the customer's specific words.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Paraphrase the customer's perspective back to them without judgement.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Document the insights for strategic decision-making.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p>
      <w:pPr>
        <w:spacing w:after="40"/>
      </w:pPr>
      <w:r>
        <w:rPr>
          <w:rFonts w:ascii="Arial" w:hAnsi="Arial"/>
          <w:b/>
          <w:color w:val="1F6FEB"/>
          <w:sz w:val="24"/>
        </w:rPr>
        <w:t>Question 3 (A3) — Model Answer</w:t>
      </w:r>
    </w:p>
    <w:p>
      <w:pPr>
        <w:spacing w:after="80"/>
      </w:pPr>
      <w:r>
        <w:rPr>
          <w:rFonts w:ascii="Arial" w:hAnsi="Arial"/>
          <w:b/>
          <w:color w:val="161B26"/>
          <w:sz w:val="22"/>
        </w:rPr>
        <w:t xml:space="preserve">Reference: </w:t>
      </w:r>
      <w:r>
        <w:rPr>
          <w:rFonts w:ascii="Arial" w:hAnsi="Arial"/>
          <w:b w:val="0"/>
          <w:color w:val="161B26"/>
          <w:sz w:val="22"/>
        </w:rPr>
        <w:t>Activities 9–12 — Brand Audit Workshop, Brand-Marketing Audit Exercise, Brand Activation Planning Workshop, PR Campaign Budget Planning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Suggestive answers (not exhaustive):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Brand Audit Workshop: A brand-guidelines document — visual standards, voice guidelines and an implementation roadmap.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Analyse the current brand touchpoints and identify inconsistencies.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Define the core brand values and a mission statement.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Create visual identity specifications — logo and colours.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Develop brand-voice guidelines for customer communication.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Design an implementation plan with specific application examples.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Brand-Marketing Audit Exercise: A brand-audit report with a consistency assessment and recommendations.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Choose a brand and identify its core identity elements.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Analyse one recent marketing campaign for brand consistency.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Evaluate the alignment between the brand messaging and the campaign goals.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Identify gaps and propose improvements for better integration.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Brand Activation Planning Workshop: A campaign-strategy document with timeline, budget allocation and success metrics.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Define the target audience's demographics and psychographics.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Develop a core brand message aligned with the audience's values.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Select 3–4 marketing channels and design consistent visuals across them.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Plan one experiential event and its supporting digital content.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Create a measurement framework using brand-recall metrics.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PR Campaign Budget Planning: A PR budget proposal with channel allocation and success metrics.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Define three core content pillars for the brand.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Allocate 15% of the marketing budget to PR activities.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Distribute the PR budget across earned, owned and paid channels.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Identify the key performance indicators for measurement.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p>
      <w:pPr>
        <w:spacing w:after="40"/>
      </w:pPr>
      <w:r>
        <w:rPr>
          <w:rFonts w:ascii="Arial" w:hAnsi="Arial"/>
          <w:b/>
          <w:color w:val="1F6FEB"/>
          <w:sz w:val="24"/>
        </w:rPr>
        <w:t>Question 4 (A4) — Model Answer</w:t>
      </w:r>
    </w:p>
    <w:p>
      <w:pPr>
        <w:spacing w:after="80"/>
      </w:pPr>
      <w:r>
        <w:rPr>
          <w:rFonts w:ascii="Arial" w:hAnsi="Arial"/>
          <w:b/>
          <w:color w:val="161B26"/>
          <w:sz w:val="22"/>
        </w:rPr>
        <w:t xml:space="preserve">Reference: </w:t>
      </w:r>
      <w:r>
        <w:rPr>
          <w:rFonts w:ascii="Arial" w:hAnsi="Arial"/>
          <w:b w:val="0"/>
          <w:color w:val="161B26"/>
          <w:sz w:val="22"/>
        </w:rPr>
        <w:t>Activities 13–17 — Platform Reputation Audit, Brand Health Assessment, PR Crisis Response Plan, KPI Dashboard Design, PR Campaign Audit Exercise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Suggestive answers (not exhaustive):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Platform Reputation Audit: A reputation-monitoring framework with defined metrics and tracking systems.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Map the stakeholder groups and select 3 key platforms per group.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Define specific KPIs for the social, digital and business indicators.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Set up monitoring tools and establish baseline measurements.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Create a weekly reporting dashboard showing sentiment trends.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Brand Health Assessment: A brand-health scorecard with metric definitions, current performance and an improvement plan.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Select 3 key metrics from the awareness, loyalty and performance categories.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Design a measurement approach that combines survey and digital analytics.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Create a monthly tracking dashboard with benchmarks.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Present the findings with actionable recommendations.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PR Crisis Response Plan: A crisis-communication plan with timelines and responsible parties.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Identify the affected stakeholder groups and media outlets.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Develop core messaging that addresses the concerns transparently.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Create a media-outreach plan with personalised pitches.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Design the social-media response and community-engagement plan.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Establish measurement metrics for reputation recovery.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KPI Dashboard Design: A complete KPI framework with a tracking schedule.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Select 3 internal and 3 external KPIs.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Define the measure, target, data source and frequency for each KPI.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Design a monthly tracking dashboard.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PR Campaign Audit Exercise: An improvement proposal with metrics, built using the AMEC measurement framework.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Apply the AMEC framework to identify the performance gaps.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Develop three strategic recommendations using best practice.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Create a measurement plan with specific KPIs.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