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Generative AI for Business Presentations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TGS-2026061325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2.0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 April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Original courseware release.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13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Rebuilt from the approved four-LU structure and legacy deck. Added business-presentation principles, do-and-don't comparisons, worked examples, current AI-tool decision guidance, eight connected activity packs, and source traceability. Detailed procedures moved to the Learner Guide and activity folders; the slides remain concept-led and visual.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Daily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Context, objectives, modes and AI-assisted presentation design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Delivery, discussion, review and assessment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Topic-by-Topic Facilitation Notes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LU1 — Context, Objectives and Modes · Slide 17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LU2 — AI-Assisted Story and Collateral Design · Slide 43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LU3 — Engage, Persuade and Handle Discussion · Slide 69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LU4 — Review Outcomes and Improve · Slide 105</w:t>
        <w:tab/>
        <w:t>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and Trainer Preparation</w:t>
        <w:tab/>
        <w:t>9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Course Title</w:t>
            </w:r>
          </w:p>
        </w:tc>
        <w:tc>
          <w:tcPr>
            <w:tcW w:type="dxa" w:w="4320"/>
          </w:tcPr>
          <w:p>
            <w:r>
              <w:t>Generative AI for Business Presentations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WSQ Course Reference</w:t>
            </w:r>
          </w:p>
        </w:tc>
        <w:tc>
          <w:tcPr>
            <w:tcW w:type="dxa" w:w="4320"/>
          </w:tcPr>
          <w:p>
            <w:r>
              <w:t>TGS-2026061325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TSC Reference</w:t>
            </w:r>
          </w:p>
        </w:tc>
        <w:tc>
          <w:tcPr>
            <w:tcW w:type="dxa" w:w="4320"/>
          </w:tcPr>
          <w:p>
            <w:r>
              <w:t>Business Presentation Delivery (TAC-BIN-5077-1.1) · Level 5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Training Provider</w:t>
            </w:r>
          </w:p>
        </w:tc>
        <w:tc>
          <w:tcPr>
            <w:tcW w:type="dxa" w:w="4320"/>
          </w:tcPr>
          <w:p>
            <w:r>
              <w:t>Tertiary Infotech Academy Pte Ltd (UEN: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2 days · 9:00am–6:00pm · 16 hours including 2 assessment hours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Mode</w:t>
            </w:r>
          </w:p>
        </w:tc>
        <w:tc>
          <w:tcPr>
            <w:tcW w:type="dxa" w:w="4320"/>
          </w:tcPr>
          <w:p>
            <w:r>
              <w:t>Instructor-led classroom with individual and small-group practice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Methods</w:t>
            </w:r>
          </w:p>
        </w:tc>
        <w:tc>
          <w:tcPr>
            <w:tcW w:type="dxa" w:w="4320"/>
          </w:tcPr>
          <w:p>
            <w:r>
              <w:t>Interactive presentation, demonstrations, case studies, AI tool comparison, peer rehearsal and reflection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4320"/>
          </w:tcPr>
          <w:p>
            <w:r>
              <w:t>Presentation computer, projector, internet, PowerPoint/Microsoft 365; learner access to approved AI presentation tools where available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Establish business presentation objectives and select presentation modes according to organisational context and stakeholder needs.</w:t>
      </w:r>
    </w:p>
    <w:p>
      <w:pPr>
        <w:pStyle w:val="ListBullet"/>
      </w:pPr>
      <w:r>
        <w:t>LO2: Determine presentation deliverables and design targeted presentation collaterals using suitable generative AI tools.</w:t>
      </w:r>
    </w:p>
    <w:p>
      <w:pPr>
        <w:pStyle w:val="ListBullet"/>
      </w:pPr>
      <w:r>
        <w:t>LO3: Deliver appropriate business messages using suitable presentation modes and techniques to engage, persuade and handle discussion.</w:t>
      </w:r>
    </w:p>
    <w:p>
      <w:pPr>
        <w:pStyle w:val="ListBullet"/>
      </w:pPr>
      <w:r>
        <w:t>LO4: Review presentation outcomes and recommend improvements using evidence, feedback and continuous-improvement methods.</w:t>
      </w:r>
    </w:p>
    <w:p>
      <w:pPr>
        <w:pStyle w:val="Heading1"/>
      </w:pPr>
      <w:r>
        <w:t>Assessment</w:t>
      </w:r>
    </w:p>
    <w:p>
      <w:pPr>
        <w:pStyle w:val="ListBullet"/>
      </w:pPr>
      <w:r>
        <w:t>Written Assessment (WE) — four open-ended questions, 1 hour, open book.</w:t>
      </w:r>
    </w:p>
    <w:p>
      <w:pPr>
        <w:pStyle w:val="ListBullet"/>
      </w:pPr>
      <w:r>
        <w:t>Case Study (CS) — one scenario with four mapped tasks, 1 hour, open book.</w:t>
      </w:r>
    </w:p>
    <w:p>
      <w:pPr>
        <w:pStyle w:val="ListBullet"/>
      </w:pPr>
      <w:r>
        <w:t>Assessment block: Day 2, 4:00pm–6:00pm.</w:t>
      </w:r>
    </w:p>
    <w:p>
      <w:pPr>
        <w:pStyle w:val="ListBullet"/>
      </w:pPr>
      <w:r>
        <w:t>Grading: Competent / Not Yet Competent.</w:t>
      </w:r>
    </w:p>
    <w:p>
      <w:pPr>
        <w:pStyle w:val="ListBullet"/>
      </w:pPr>
      <w:r>
        <w:t>A minimum of 75% attendance is required for assessment eligibility. Learners must be assessed as Competent and complete the TRAQOM survey.</w:t>
      </w:r>
    </w:p>
    <w:p>
      <w:pPr>
        <w:pStyle w:val="Heading1"/>
      </w:pPr>
      <w:r>
        <w:t>Daily Schedule</w:t>
      </w:r>
    </w:p>
    <w:p>
      <w:pPr>
        <w:pStyle w:val="Heading2"/>
      </w:pPr>
      <w:r>
        <w:t>Day 1 — Context, objectives, modes and AI-assisted presentation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Time</w:t>
            </w:r>
          </w:p>
        </w:tc>
        <w:tc>
          <w:tcPr>
            <w:tcW w:type="dxa" w:w="2160"/>
            <w:shd w:val="clear" w:color="auto" w:fill="1F6FEB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Duration</w:t>
            </w:r>
          </w:p>
        </w:tc>
        <w:tc>
          <w:tcPr>
            <w:tcW w:type="dxa" w:w="2160"/>
            <w:shd w:val="clear" w:color="auto" w:fill="1F6FEB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Topic / Activity</w:t>
            </w:r>
          </w:p>
        </w:tc>
        <w:tc>
          <w:tcPr>
            <w:tcW w:type="dxa" w:w="2160"/>
            <w:shd w:val="clear" w:color="auto" w:fill="1F6FEB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Slides</w:t>
            </w:r>
          </w:p>
        </w:tc>
      </w:tr>
      <w:tr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9:00–9:20</w:t>
            </w:r>
          </w:p>
        </w:tc>
        <w:tc>
          <w:tcPr>
            <w:tcW w:type="dxa" w:w="2160"/>
            <w:shd w:val="clear" w:color="auto" w:fill="F3F5F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20 min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Welcome, ground rules, course outcomes and mandatory digital attendance</w:t>
            </w:r>
          </w:p>
        </w:tc>
        <w:tc>
          <w:tcPr>
            <w:tcW w:type="dxa" w:w="2160"/>
            <w:shd w:val="clear" w:color="auto" w:fill="F3F5F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9:20–10:40</w:t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80 min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LU1 concepts and Activity 1 — Decision-Ready Presentation Brief</w:t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Slides 17–30</w:t>
            </w:r>
          </w:p>
        </w:tc>
      </w:tr>
      <w:tr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10:40–10:50</w:t>
            </w:r>
          </w:p>
        </w:tc>
        <w:tc>
          <w:tcPr>
            <w:tcW w:type="dxa" w:w="2160"/>
            <w:shd w:val="clear" w:color="auto" w:fill="FFF4E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 min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Tea break</w:t>
            </w:r>
          </w:p>
        </w:tc>
        <w:tc>
          <w:tcPr>
            <w:tcW w:type="dxa" w:w="2160"/>
            <w:shd w:val="clear" w:color="auto" w:fill="FFF4E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10:50–12:00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70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Activity 2 — AI Tool Fit and Risk Matrix; LU1 recap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Slide 38</w:t>
            </w:r>
          </w:p>
        </w:tc>
      </w:tr>
      <w:tr>
        <w:tc>
          <w:tcPr>
            <w:tcW w:type="dxa" w:w="216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12:00–1:00</w:t>
            </w:r>
          </w:p>
        </w:tc>
        <w:tc>
          <w:tcPr>
            <w:tcW w:type="dxa" w:w="2160"/>
            <w:shd w:val="clear" w:color="auto" w:fill="FDE9D9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60 min</w:t>
            </w:r>
          </w:p>
        </w:tc>
        <w:tc>
          <w:tcPr>
            <w:tcW w:type="dxa" w:w="216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Lunch break</w:t>
            </w:r>
          </w:p>
        </w:tc>
        <w:tc>
          <w:tcPr>
            <w:tcW w:type="dxa" w:w="2160"/>
            <w:shd w:val="clear" w:color="auto" w:fill="FDE9D9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1:00–2:30</w:t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90 min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LU2 story architecture and Activity 3 — Executive Story Spine with Claude or Copilot</w:t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Slides 43–56</w:t>
            </w:r>
          </w:p>
        </w:tc>
      </w:tr>
      <w:tr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2:30–2:40</w:t>
            </w:r>
          </w:p>
        </w:tc>
        <w:tc>
          <w:tcPr>
            <w:tcW w:type="dxa" w:w="2160"/>
            <w:shd w:val="clear" w:color="auto" w:fill="FFF4E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 min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Tea break</w:t>
            </w:r>
          </w:p>
        </w:tc>
        <w:tc>
          <w:tcPr>
            <w:tcW w:type="dxa" w:w="2160"/>
            <w:shd w:val="clear" w:color="auto" w:fill="FFF4E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2:40–4:10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90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Activity 4 — AI Draft-to-Deck Design Studio: AI draft-to-deck studio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Slide 64</w:t>
            </w:r>
          </w:p>
        </w:tc>
      </w:tr>
      <w:tr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4:10–4:20</w:t>
            </w:r>
          </w:p>
        </w:tc>
        <w:tc>
          <w:tcPr>
            <w:tcW w:type="dxa" w:w="2160"/>
            <w:shd w:val="clear" w:color="auto" w:fill="FFF4E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 min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Tea break</w:t>
            </w:r>
          </w:p>
        </w:tc>
        <w:tc>
          <w:tcPr>
            <w:tcW w:type="dxa" w:w="2160"/>
            <w:shd w:val="clear" w:color="auto" w:fill="FFF4E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4:20–5:50</w:t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90 min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LU2 consolidation: tool comparison, human review, deck critique and export checks</w:t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Slides 43–64</w:t>
            </w:r>
          </w:p>
        </w:tc>
      </w:tr>
      <w:tr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5:50–6:00</w:t>
            </w:r>
          </w:p>
        </w:tc>
        <w:tc>
          <w:tcPr>
            <w:tcW w:type="dxa" w:w="2160"/>
            <w:shd w:val="clear" w:color="auto" w:fill="F3F5F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 min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Day 1 recap, questions and PM digital attendance</w:t>
            </w:r>
          </w:p>
        </w:tc>
        <w:tc>
          <w:tcPr>
            <w:tcW w:type="dxa" w:w="2160"/>
            <w:shd w:val="clear" w:color="auto" w:fill="F3F5F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</w:tbl>
    <w:p>
      <w:r>
        <w:rPr>
          <w:i/>
          <w:color w:val="555B66"/>
        </w:rPr>
        <w:t>Counted training and assessment time: 480 minutes (8.0 hours).</w:t>
      </w:r>
    </w:p>
    <w:p>
      <w:pPr>
        <w:pStyle w:val="Heading2"/>
      </w:pPr>
      <w:r>
        <w:t>Day 2 — Delivery, discussion, review and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Time</w:t>
            </w:r>
          </w:p>
        </w:tc>
        <w:tc>
          <w:tcPr>
            <w:tcW w:type="dxa" w:w="2160"/>
            <w:shd w:val="clear" w:color="auto" w:fill="1F6FEB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Duration</w:t>
            </w:r>
          </w:p>
        </w:tc>
        <w:tc>
          <w:tcPr>
            <w:tcW w:type="dxa" w:w="2160"/>
            <w:shd w:val="clear" w:color="auto" w:fill="1F6FEB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Topic / Activity</w:t>
            </w:r>
          </w:p>
        </w:tc>
        <w:tc>
          <w:tcPr>
            <w:tcW w:type="dxa" w:w="2160"/>
            <w:shd w:val="clear" w:color="auto" w:fill="1F6FEB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Slides</w:t>
            </w:r>
          </w:p>
        </w:tc>
      </w:tr>
      <w:tr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9:00–9:15</w:t>
            </w:r>
          </w:p>
        </w:tc>
        <w:tc>
          <w:tcPr>
            <w:tcW w:type="dxa" w:w="2160"/>
            <w:shd w:val="clear" w:color="auto" w:fill="F3F5F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15 min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Day 1 recap and mandatory digital attendance</w:t>
            </w:r>
          </w:p>
        </w:tc>
        <w:tc>
          <w:tcPr>
            <w:tcW w:type="dxa" w:w="2160"/>
            <w:shd w:val="clear" w:color="auto" w:fill="F3F5F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9:15–10:30</w:t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75 min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LU3 visual evidence and Activity 5 — Evidence-to-Visual Upgrade with Napkin</w:t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Slides 69–82</w:t>
            </w:r>
          </w:p>
        </w:tc>
      </w:tr>
      <w:tr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10:30–10:40</w:t>
            </w:r>
          </w:p>
        </w:tc>
        <w:tc>
          <w:tcPr>
            <w:tcW w:type="dxa" w:w="2160"/>
            <w:shd w:val="clear" w:color="auto" w:fill="FFF4E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 min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Tea break</w:t>
            </w:r>
          </w:p>
        </w:tc>
        <w:tc>
          <w:tcPr>
            <w:tcW w:type="dxa" w:w="2160"/>
            <w:shd w:val="clear" w:color="auto" w:fill="FFF4E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10:40–11:55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75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Activity 6 — Delivery and Q&amp;A Rehearsal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Slide 90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11:55–12:30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35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Activity 7 — Negotiation Deck Challenge (brief and preparation)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Slide 99</w:t>
            </w:r>
          </w:p>
        </w:tc>
      </w:tr>
      <w:tr>
        <w:tc>
          <w:tcPr>
            <w:tcW w:type="dxa" w:w="216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12:30–1:30</w:t>
            </w:r>
          </w:p>
        </w:tc>
        <w:tc>
          <w:tcPr>
            <w:tcW w:type="dxa" w:w="2160"/>
            <w:shd w:val="clear" w:color="auto" w:fill="FDE9D9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60 min</w:t>
            </w:r>
          </w:p>
        </w:tc>
        <w:tc>
          <w:tcPr>
            <w:tcW w:type="dxa" w:w="216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Lunch break</w:t>
            </w:r>
          </w:p>
        </w:tc>
        <w:tc>
          <w:tcPr>
            <w:tcW w:type="dxa" w:w="2160"/>
            <w:shd w:val="clear" w:color="auto" w:fill="FDE9D9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1:30–2:40</w:t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70 min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Complete Activity 7; LU4 review principles and Activity 8 briefing — Presentation Review and Improvement Sprint</w:t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Slides 99–117</w:t>
            </w:r>
          </w:p>
        </w:tc>
      </w:tr>
      <w:tr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2:40–2:50</w:t>
            </w:r>
          </w:p>
        </w:tc>
        <w:tc>
          <w:tcPr>
            <w:tcW w:type="dxa" w:w="2160"/>
            <w:shd w:val="clear" w:color="auto" w:fill="FFF4E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 min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Tea break</w:t>
            </w:r>
          </w:p>
        </w:tc>
        <w:tc>
          <w:tcPr>
            <w:tcW w:type="dxa" w:w="2160"/>
            <w:shd w:val="clear" w:color="auto" w:fill="FFF4E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2:50–3:40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50 min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Activity 8 — Presentation Review and Improvement Sprint; review and version-control debrief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Slide 117</w:t>
            </w:r>
          </w:p>
        </w:tc>
      </w:tr>
      <w:tr>
        <w:tc>
          <w:tcPr>
            <w:tcW w:type="dxa" w:w="2160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3:40–4:00</w:t>
            </w:r>
          </w:p>
        </w:tc>
        <w:tc>
          <w:tcPr>
            <w:tcW w:type="dxa" w:w="2160"/>
            <w:shd w:val="clear" w:color="auto" w:fill="E8F7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20 min</w:t>
            </w:r>
          </w:p>
        </w:tc>
        <w:tc>
          <w:tcPr>
            <w:tcW w:type="dxa" w:w="2160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Course wrap-up, TRAQOM, assessment briefing and attendance</w:t>
            </w:r>
          </w:p>
        </w:tc>
        <w:tc>
          <w:tcPr>
            <w:tcW w:type="dxa" w:w="2160"/>
            <w:shd w:val="clear" w:color="auto" w:fill="E8F7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Slide 12</w:t>
            </w:r>
          </w:p>
        </w:tc>
      </w:tr>
      <w:tr>
        <w:tc>
          <w:tcPr>
            <w:tcW w:type="dxa" w:w="2160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4:00–5:00</w:t>
            </w:r>
          </w:p>
        </w:tc>
        <w:tc>
          <w:tcPr>
            <w:tcW w:type="dxa" w:w="2160"/>
            <w:shd w:val="clear" w:color="auto" w:fill="E8F7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60 min</w:t>
            </w:r>
          </w:p>
        </w:tc>
        <w:tc>
          <w:tcPr>
            <w:tcW w:type="dxa" w:w="2160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Written Examination (WE) — four open-ended questions, open book</w:t>
            </w:r>
          </w:p>
        </w:tc>
        <w:tc>
          <w:tcPr>
            <w:tcW w:type="dxa" w:w="2160"/>
            <w:shd w:val="clear" w:color="auto" w:fill="E8F7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Slide 13</w:t>
            </w:r>
          </w:p>
        </w:tc>
      </w:tr>
      <w:tr>
        <w:tc>
          <w:tcPr>
            <w:tcW w:type="dxa" w:w="2160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5:00–6:00</w:t>
            </w:r>
          </w:p>
        </w:tc>
        <w:tc>
          <w:tcPr>
            <w:tcW w:type="dxa" w:w="2160"/>
            <w:shd w:val="clear" w:color="auto" w:fill="E8F7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60 min</w:t>
            </w:r>
          </w:p>
        </w:tc>
        <w:tc>
          <w:tcPr>
            <w:tcW w:type="dxa" w:w="2160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Case Study (CS) — one scenario with four tasks, open book</w:t>
            </w:r>
          </w:p>
        </w:tc>
        <w:tc>
          <w:tcPr>
            <w:tcW w:type="dxa" w:w="2160"/>
            <w:shd w:val="clear" w:color="auto" w:fill="E8F7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Slide 129</w:t>
            </w:r>
          </w:p>
        </w:tc>
      </w:tr>
    </w:tbl>
    <w:p>
      <w:r>
        <w:rPr>
          <w:i/>
          <w:color w:val="555B66"/>
        </w:rPr>
        <w:t>Counted training and assessment time: 480 minutes (8.0 hours).</w:t>
      </w:r>
    </w:p>
    <w:p>
      <w:pPr>
        <w:pStyle w:val="Heading1"/>
      </w:pPr>
      <w:r>
        <w:t>Topic-by-Topic Facilitation Notes</w:t>
      </w:r>
    </w:p>
    <w:p>
      <w:pPr>
        <w:pStyle w:val="Heading2"/>
      </w:pPr>
      <w:r>
        <w:t>LU1 — Context, Objectives and Modes · Slide 17</w:t>
      </w:r>
    </w:p>
    <w:p>
      <w:r>
        <w:t>Business context · Stakeholders · Audience needs · Objectives · Mode selection · AI readiness</w:t>
      </w:r>
    </w:p>
    <w:p>
      <w:pPr>
        <w:pStyle w:val="ListBullet"/>
      </w:pPr>
      <w:r>
        <w:t>Business presentations exist to inform, recommend, persuade, align or decide; the desired audience action defines success.</w:t>
      </w:r>
    </w:p>
    <w:p>
      <w:pPr>
        <w:pStyle w:val="ListBullet"/>
      </w:pPr>
      <w:r>
        <w:t>Organisational context, stakeholder power and audience knowledge determine the message depth, tone and evidence needed.</w:t>
      </w:r>
    </w:p>
    <w:p>
      <w:pPr>
        <w:pStyle w:val="ListBullet"/>
      </w:pPr>
      <w:r>
        <w:t>A precise objective combines audience, action, outcome and success evidence before any slide is generated.</w:t>
      </w:r>
    </w:p>
    <w:p>
      <w:pPr>
        <w:pStyle w:val="ListBullet"/>
      </w:pPr>
      <w:r>
        <w:t>Mode selection — live, virtual, hybrid or self-guided — changes interaction design, pacing, accessibility and follow-up.</w:t>
      </w:r>
    </w:p>
    <w:p>
      <w:pPr>
        <w:pStyle w:val="Heading3"/>
      </w:pPr>
      <w:r>
        <w:t>Activity 1 — Decision-Ready Presentation Brief · Slide 30</w:t>
      </w:r>
    </w:p>
    <w:p>
      <w:r>
        <w:t>Objective: frame a presentation objective, audience action, evidence need and delivery mode.</w:t>
      </w:r>
    </w:p>
    <w:p>
      <w:r>
        <w:t>Method: Case study / workshop · Duration: 45 minutes · Output: A one-page presentation brief and mode-selection rationale.</w:t>
      </w:r>
    </w:p>
    <w:p>
      <w:r>
        <w:t>Facilitation: introduce the scenario and decision criteria from the slides; learners follow the detailed procedure in the Learner Guide and activity folder. Debrief against the stated check, not aesthetic preference.</w:t>
      </w:r>
    </w:p>
    <w:p>
      <w:pPr>
        <w:pStyle w:val="Heading3"/>
      </w:pPr>
      <w:r>
        <w:t>Activity 2 — AI Tool Fit and Risk Matrix · Slide 38</w:t>
      </w:r>
    </w:p>
    <w:p>
      <w:r>
        <w:t>Objective: select an AI presentation workflow based on task fit, editability, governance and export requirements.</w:t>
      </w:r>
    </w:p>
    <w:p>
      <w:r>
        <w:t>Method: Case study / workshop · Duration: 40 minutes · Output: A weighted AI-tool decision matrix and a human-in-the-loop production chain.</w:t>
      </w:r>
    </w:p>
    <w:p>
      <w:r>
        <w:t>Facilitation: introduce the scenario and decision criteria from the slides; learners follow the detailed procedure in the Learner Guide and activity folder. Debrief against the stated check, not aesthetic preference.</w:t>
      </w:r>
    </w:p>
    <w:p>
      <w:pPr>
        <w:pStyle w:val="Heading2"/>
      </w:pPr>
      <w:r>
        <w:t>LU2 — AI-Assisted Story and Collateral Design · Slide 43</w:t>
      </w:r>
    </w:p>
    <w:p>
      <w:r>
        <w:t>Deliverables · Story architecture · Prompting · Tool selection · Visual hierarchy · Human review</w:t>
      </w:r>
    </w:p>
    <w:p>
      <w:pPr>
        <w:pStyle w:val="ListBullet"/>
      </w:pPr>
      <w:r>
        <w:t>A business deck uses a clear storyline: situation, complication, key question, answer, evidence and next action.</w:t>
      </w:r>
    </w:p>
    <w:p>
      <w:pPr>
        <w:pStyle w:val="ListBullet"/>
      </w:pPr>
      <w:r>
        <w:t>Conclusion-first structure and action titles help executives understand the point before examining the detail.</w:t>
      </w:r>
    </w:p>
    <w:p>
      <w:pPr>
        <w:pStyle w:val="ListBullet"/>
      </w:pPr>
      <w:r>
        <w:t>AI tools differ in research, generation, brand control, collaboration, editability and export quality; choose by task and risk.</w:t>
      </w:r>
    </w:p>
    <w:p>
      <w:pPr>
        <w:pStyle w:val="ListBullet"/>
      </w:pPr>
      <w:r>
        <w:t>Human review must check factual accuracy, confidentiality, copyright, accessibility, brand fit and decision usefulness.</w:t>
      </w:r>
    </w:p>
    <w:p>
      <w:pPr>
        <w:pStyle w:val="Heading3"/>
      </w:pPr>
      <w:r>
        <w:t>Activity 3 — Executive Story Spine with Claude or Copilot · Slide 56</w:t>
      </w:r>
    </w:p>
    <w:p>
      <w:r>
        <w:t>Objective: turn a presentation brief into a conclusion-first business storyline and slide map.</w:t>
      </w:r>
    </w:p>
    <w:p>
      <w:r>
        <w:t>Method: Case study / workshop · Duration: 45 minutes · Output: A nine-slide story map with action titles, evidence notes and appendix plan.</w:t>
      </w:r>
    </w:p>
    <w:p>
      <w:r>
        <w:t>Facilitation: introduce the scenario and decision criteria from the slides; learners follow the detailed procedure in the Learner Guide and activity folder. Debrief against the stated check, not aesthetic preference.</w:t>
      </w:r>
    </w:p>
    <w:p>
      <w:pPr>
        <w:pStyle w:val="Heading3"/>
      </w:pPr>
      <w:r>
        <w:t>Activity 4 — AI Draft-to-Deck Design Studio · Slide 64</w:t>
      </w:r>
    </w:p>
    <w:p>
      <w:r>
        <w:t>Objective: generate and refine an editable, branded and accessible presentation draft.</w:t>
      </w:r>
    </w:p>
    <w:p>
      <w:r>
        <w:t>Method: Case study / workshop · Duration: 50 minutes · Output: A nine-slide editable draft plus an AI-output audit sheet.</w:t>
      </w:r>
    </w:p>
    <w:p>
      <w:r>
        <w:t>Facilitation: introduce the scenario and decision criteria from the slides; learners follow the detailed procedure in the Learner Guide and activity folder. Debrief against the stated check, not aesthetic preference.</w:t>
      </w:r>
    </w:p>
    <w:p>
      <w:pPr>
        <w:pStyle w:val="Heading2"/>
      </w:pPr>
      <w:r>
        <w:t>LU3 — Engage, Persuade and Handle Discussion · Slide 69</w:t>
      </w:r>
    </w:p>
    <w:p>
      <w:r>
        <w:t>Message delivery · Data storytelling · Speaker support · Q&amp;A · Negotiation · Virtual and hybrid delivery</w:t>
      </w:r>
    </w:p>
    <w:p>
      <w:pPr>
        <w:pStyle w:val="ListBullet"/>
      </w:pPr>
      <w:r>
        <w:t>Delivery integrates content, organisation and presence: opening, signposting, evidence, transitions, close and call to action.</w:t>
      </w:r>
    </w:p>
    <w:p>
      <w:pPr>
        <w:pStyle w:val="ListBullet"/>
      </w:pPr>
      <w:r>
        <w:t>One message per slide, readable visuals and evidence-led charts reduce cognitive load and strengthen persuasion.</w:t>
      </w:r>
    </w:p>
    <w:p>
      <w:pPr>
        <w:pStyle w:val="ListBullet"/>
      </w:pPr>
      <w:r>
        <w:t>Questions reveal stakeholder concerns; acknowledge, clarify, answer with evidence and confirm whether the concern is resolved.</w:t>
      </w:r>
    </w:p>
    <w:p>
      <w:pPr>
        <w:pStyle w:val="ListBullet"/>
      </w:pPr>
      <w:r>
        <w:t>Negotiation slides make interests, options, trade-offs, boundaries and decisions visible without overwhelming the audience.</w:t>
      </w:r>
    </w:p>
    <w:p>
      <w:pPr>
        <w:pStyle w:val="Heading3"/>
      </w:pPr>
      <w:r>
        <w:t>Activity 5 — Evidence-to-Visual Upgrade with Napkin · Slide 82</w:t>
      </w:r>
    </w:p>
    <w:p>
      <w:r>
        <w:t>Objective: replace weak text and decorative graphics with decision-useful visual evidence.</w:t>
      </w:r>
    </w:p>
    <w:p>
      <w:r>
        <w:t>Method: Case study / workshop · Duration: 45 minutes · Output: Three presentation-ready visual slides and a completed visual-quality checklist.</w:t>
      </w:r>
    </w:p>
    <w:p>
      <w:r>
        <w:t>Facilitation: introduce the scenario and decision criteria from the slides; learners follow the detailed procedure in the Learner Guide and activity folder. Debrief against the stated check, not aesthetic preference.</w:t>
      </w:r>
    </w:p>
    <w:p>
      <w:pPr>
        <w:pStyle w:val="Heading3"/>
      </w:pPr>
      <w:r>
        <w:t>Activity 6 — Delivery and Q&amp;A Rehearsal · Slide 90</w:t>
      </w:r>
    </w:p>
    <w:p>
      <w:r>
        <w:t>Objective: deliver a concise recommendation and respond to stakeholder questions with evidence.</w:t>
      </w:r>
    </w:p>
    <w:p>
      <w:r>
        <w:t>Method: Role play · Duration: 45 minutes · Output: A timed rehearsal, peer scorecard and revised speaker-note set.</w:t>
      </w:r>
    </w:p>
    <w:p>
      <w:r>
        <w:t>Facilitation: introduce the scenario and decision criteria from the slides; learners follow the detailed procedure in the Learner Guide and activity folder. Debrief against the stated check, not aesthetic preference.</w:t>
      </w:r>
    </w:p>
    <w:p>
      <w:pPr>
        <w:pStyle w:val="Heading3"/>
      </w:pPr>
      <w:r>
        <w:t>Activity 7 — Negotiation Deck Challenge · Slide 99</w:t>
      </w:r>
    </w:p>
    <w:p>
      <w:r>
        <w:t>Objective: support a business negotiation with clear interests, options, trade-offs and decision boundaries.</w:t>
      </w:r>
    </w:p>
    <w:p>
      <w:r>
        <w:t>Method: Role play · Duration: 40 minutes · Output: A four-slide negotiation pack and a documented conditional agreement.</w:t>
      </w:r>
    </w:p>
    <w:p>
      <w:r>
        <w:t>Facilitation: introduce the scenario and decision criteria from the slides; learners follow the detailed procedure in the Learner Guide and activity folder. Debrief against the stated check, not aesthetic preference.</w:t>
      </w:r>
    </w:p>
    <w:p>
      <w:pPr>
        <w:pStyle w:val="Heading2"/>
      </w:pPr>
      <w:r>
        <w:t>LU4 — Review Outcomes and Improve · Slide 105</w:t>
      </w:r>
    </w:p>
    <w:p>
      <w:r>
        <w:t>Success measures · Feedback · Analytics · AI critique · Version control · Continuous improvement</w:t>
      </w:r>
    </w:p>
    <w:p>
      <w:pPr>
        <w:pStyle w:val="ListBullet"/>
      </w:pPr>
      <w:r>
        <w:t>Outcome measures connect the original objective to evidence such as decisions, actions, understanding and follow-through.</w:t>
      </w:r>
    </w:p>
    <w:p>
      <w:pPr>
        <w:pStyle w:val="ListBullet"/>
      </w:pPr>
      <w:r>
        <w:t>Feedback should separate storyline, evidence, design, delivery and interaction so the team knows what to improve.</w:t>
      </w:r>
    </w:p>
    <w:p>
      <w:pPr>
        <w:pStyle w:val="ListBullet"/>
      </w:pPr>
      <w:r>
        <w:t>AI critique is a useful second opinion, not an assessor of truth; prompts must specify audience, goal and review criteria.</w:t>
      </w:r>
    </w:p>
    <w:p>
      <w:pPr>
        <w:pStyle w:val="ListBullet"/>
      </w:pPr>
      <w:r>
        <w:t>A repeatable review loop captures findings, prioritises changes, assigns ownership, controls versions and retests the deck.</w:t>
      </w:r>
    </w:p>
    <w:p>
      <w:pPr>
        <w:pStyle w:val="Heading3"/>
      </w:pPr>
      <w:r>
        <w:t>Activity 8 — Presentation Review and Improvement Sprint · Slide 117</w:t>
      </w:r>
    </w:p>
    <w:p>
      <w:r>
        <w:t>Objective: evaluate presentation outcomes and prioritise evidence-based improvements.</w:t>
      </w:r>
    </w:p>
    <w:p>
      <w:r>
        <w:t>Method: Case study / workshop · Duration: 50 minutes · Output: An outcome scorecard, improvement backlog, version record and revised three-slide sample.</w:t>
      </w:r>
    </w:p>
    <w:p>
      <w:r>
        <w:t>Facilitation: introduce the scenario and decision criteria from the slides; learners follow the detailed procedure in the Learner Guide and activity folder. Debrief against the stated check, not aesthetic preference.</w:t>
      </w:r>
    </w:p>
    <w:p>
      <w:pPr>
        <w:pStyle w:val="Heading1"/>
      </w:pPr>
      <w:r>
        <w:t>Resources and Trainer Preparation</w:t>
      </w:r>
    </w:p>
    <w:p>
      <w:pPr>
        <w:pStyle w:val="ListBullet"/>
      </w:pPr>
      <w:r>
        <w:t>Open the final PPTX and backup PDF; verify fonts, links, animations and presenter display.</w:t>
      </w:r>
    </w:p>
    <w:p>
      <w:pPr>
        <w:pStyle w:val="ListBullet"/>
      </w:pPr>
      <w:r>
        <w:t>Provide the Learner Guide and the eight individual activity folders before each activity.</w:t>
      </w:r>
    </w:p>
    <w:p>
      <w:pPr>
        <w:pStyle w:val="ListBullet"/>
      </w:pPr>
      <w:r>
        <w:t>Confirm which AI tools are approved and accessible; never require learners to upload restricted information.</w:t>
      </w:r>
    </w:p>
    <w:p>
      <w:pPr>
        <w:pStyle w:val="ListBullet"/>
      </w:pPr>
      <w:r>
        <w:t>Use the included sample decks as worked examples, not as mandatory visual templates.</w:t>
      </w:r>
    </w:p>
    <w:p>
      <w:pPr>
        <w:pStyle w:val="ListBullet"/>
      </w:pPr>
      <w:r>
        <w:t>Prepare digital-attendance and TRAQOM access; keep assessment answer keys trainer-only.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