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6 — Draft the AI Acceptable Use and Governance Policy Set</w:t>
      </w:r>
    </w:p>
    <w:p>
      <w:r>
        <w:rPr>
          <w:b/>
          <w:color w:val="1F6FEB"/>
          <w:sz w:val="20"/>
        </w:rPr>
        <w:t>Topic 02: Building an AI Governance Framework: Policies, Roles and Risk Ownership</w:t>
      </w:r>
    </w:p>
    <w:p>
      <w:r>
        <w:rPr>
          <w:b/>
          <w:color w:val="1F6FEB"/>
        </w:rPr>
        <w:t xml:space="preserve">Objective:  </w:t>
      </w:r>
      <w:r>
        <w:t>Evaluate policy requirements and develop an enforceable AI policy set aligned to the NIST AI RMF and Singapore's MGF for Generative AI.</w:t>
      </w:r>
    </w:p>
    <w:p>
      <w:r>
        <w:rPr>
          <w:b/>
          <w:color w:val="1F6FEB"/>
        </w:rPr>
        <w:t xml:space="preserve">Goal:  </w:t>
      </w:r>
      <w:r>
        <w:t>Policy is where governance becomes enforceable. You will draft NovaBank's AI Acceptable Use Policy and the supporting standard, working from the gap register you produced in Lab 5 and the nine dimensions of Singapore's Model AI Governance Framework for Generative AI.</w:t>
      </w:r>
    </w:p>
    <w:p>
      <w:r>
        <w:rPr>
          <w:b/>
          <w:color w:val="1F6FEB"/>
        </w:rPr>
        <w:t xml:space="preserve">What you'll build:  </w:t>
      </w:r>
      <w:r>
        <w:t>A complete AI Acceptable Use Policy (2 pages) plus a one-page AI Risk Management Standard, both mapped to MGF dimensions and RMF subcategories.</w:t>
      </w:r>
    </w:p>
    <w:p>
      <w:r>
        <w:rPr>
          <w:b/>
          <w:color w:val="1F6FEB"/>
        </w:rPr>
        <w:t xml:space="preserve">Tools and data:  </w:t>
      </w:r>
      <w:r>
        <w:t>Policy templates (aup-template.md, standard-template.md), MGF nine dimensions reference, Lab 5 gap register</w:t>
      </w:r>
    </w:p>
    <w:p>
      <w:pPr>
        <w:pStyle w:val="Heading2"/>
      </w:pPr>
      <w:r>
        <w:t>Data files in this lab</w:t>
      </w:r>
    </w:p>
    <w:p>
      <w:pPr>
        <w:pStyle w:val="ListBullet"/>
      </w:pPr>
      <w:r>
        <w:t>data/aup-template.md</w:t>
      </w:r>
    </w:p>
    <w:p>
      <w:pPr>
        <w:pStyle w:val="ListBullet"/>
      </w:pPr>
      <w:r>
        <w:t>data/mgf-nine-dimensions.md</w:t>
      </w:r>
    </w:p>
    <w:p>
      <w:pPr>
        <w:pStyle w:val="ListBullet"/>
      </w:pPr>
      <w:r>
        <w:t>data/standard-template.md</w:t>
      </w:r>
    </w:p>
    <w:p>
      <w:pPr>
        <w:pStyle w:val="Heading2"/>
      </w:pPr>
      <w:r>
        <w:t>Step-by-step</w:t>
      </w:r>
    </w:p>
    <w:p>
      <w:pPr>
        <w:pStyle w:val="ListNumber"/>
      </w:pPr>
      <w:r>
        <w:t>Open aup-template.md in labs/lab-06-policy-set/data/ and review the required sections: purpose, scope, definitions, permitted use, prohibited use, approval, roles, monitoring, breach and review.</w:t>
      </w:r>
    </w:p>
    <w:p>
      <w:pPr>
        <w:pStyle w:val="ListNumber"/>
      </w:pPr>
      <w:r>
        <w:t>Define scope precisely. State whether the policy covers public GenAI tools, embedded AI features in existing SaaS, internally built models and third-party agents — vague scope is the most common policy defect.</w:t>
      </w:r>
    </w:p>
    <w:p>
      <w:pPr>
        <w:pStyle w:val="ListNumber"/>
      </w:pPr>
      <w:r>
        <w:t>Write the permitted-use section. Specify what staff may do with approved AI tools, with which data classifications, and under what logging.</w:t>
      </w:r>
    </w:p>
    <w:p>
      <w:pPr>
        <w:pStyle w:val="ListNumber"/>
      </w:pPr>
      <w:r>
        <w:t>Write the prohibited-use section with concrete rules: no confidential or personal customer data into unapproved tools; no AI-generated code merged without human review; no automated decision about a customer without a documented human check.</w:t>
      </w:r>
    </w:p>
    <w:p>
      <w:pPr>
        <w:pStyle w:val="ListNumber"/>
      </w:pPr>
      <w:r>
        <w:t>Write the approval pathway. State who approves a new AI system, what evidence they need, and the maximum turnaround — a pathway with no service level is a pathway staff will bypass.</w:t>
      </w:r>
    </w:p>
    <w:p>
      <w:pPr>
        <w:pStyle w:val="ListNumber"/>
      </w:pPr>
      <w:r>
        <w:t>Map every clause to the MGF dimension it serves — accountability, data, trusted development and deployment, incident reporting, testing and assurance, security, content provenance — and record the mapping in a table.</w:t>
      </w:r>
    </w:p>
    <w:p>
      <w:pPr>
        <w:pStyle w:val="ListNumber"/>
      </w:pPr>
      <w:r>
        <w:t>Draft the one-page AI Risk Management Standard: risk tiering criteria, the assessment required at each tier, who signs off, and the review frequency.</w:t>
      </w:r>
    </w:p>
    <w:p>
      <w:pPr>
        <w:pStyle w:val="ListNumber"/>
      </w:pPr>
      <w:r>
        <w:t>Add the enforcement and consequence section, and the review cycle with a named owner and a date. A policy with no owner and no review date is already obsolete.</w:t>
      </w:r>
    </w:p>
    <w:p>
      <w:pPr>
        <w:pStyle w:val="ListNumber"/>
      </w:pPr>
      <w:r>
        <w:t>Peer-review another group's policy against one test: could a member of staff read this and know exactly what they may and may not do on Monday morning? Record two specific improvements.</w:t>
      </w:r>
    </w:p>
    <w:p>
      <w:pPr>
        <w:pStyle w:val="Heading2"/>
      </w:pPr>
      <w:r>
        <w:t>Test it</w:t>
      </w:r>
    </w:p>
    <w:p>
      <w:r>
        <w:t>Your AUP states at least six concrete prohibited actions, names the approver and the turnaround time, and every clause maps to at least one MGF dimension. A peer confirms they could apply your policy without asking you a question.</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