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9 — Govern the Data: Classification, Minimisation and Protection</w:t>
      </w:r>
    </w:p>
    <w:p>
      <w:r>
        <w:rPr>
          <w:b/>
          <w:color w:val="1F6FEB"/>
          <w:sz w:val="20"/>
        </w:rPr>
        <w:t>Topic 03: Governance Controls Across the AI Lifecycle</w:t>
      </w:r>
    </w:p>
    <w:p>
      <w:r>
        <w:rPr>
          <w:b/>
          <w:color w:val="1F6FEB"/>
        </w:rPr>
        <w:t xml:space="preserve">Objective:  </w:t>
      </w:r>
      <w:r>
        <w:t>Develop and apply data governance controls for an AI training set, including classification, minimisation, de-identification and retention.</w:t>
      </w:r>
    </w:p>
    <w:p>
      <w:r>
        <w:rPr>
          <w:b/>
          <w:color w:val="1F6FEB"/>
        </w:rPr>
        <w:t xml:space="preserve">Goal:  </w:t>
      </w:r>
      <w:r>
        <w:t>NovaBank wants to train a churn-prediction model on customer data. You will govern the dataset before a single model is trained: classify every field, strip what is not needed, de-identify what remains, and prove the protection using the Cryptography Toolkit for hashing and encryption.</w:t>
      </w:r>
    </w:p>
    <w:p>
      <w:r>
        <w:rPr>
          <w:b/>
          <w:color w:val="1F6FEB"/>
        </w:rPr>
        <w:t xml:space="preserve">What you'll build:  </w:t>
      </w:r>
      <w:r>
        <w:t>A governed training dataset specification: a field-by-field classification and minimisation decision, a de-identification method per field, and a tested hashing approach with retention rules.</w:t>
      </w:r>
    </w:p>
    <w:p>
      <w:r>
        <w:rPr>
          <w:b/>
          <w:color w:val="1F6FEB"/>
        </w:rPr>
        <w:t xml:space="preserve">Tools and data:  </w:t>
      </w:r>
      <w:r>
        <w:t>Customer dataset (customer-training-data.csv, data-dictionary.md), Cryptography Toolkit (https://alfredang.github.io/cryptography-toolkit/)</w:t>
      </w:r>
    </w:p>
    <w:p>
      <w:pPr>
        <w:pStyle w:val="Heading2"/>
      </w:pPr>
      <w:r>
        <w:t>Data files in this lab</w:t>
      </w:r>
    </w:p>
    <w:p>
      <w:pPr>
        <w:pStyle w:val="ListBullet"/>
      </w:pPr>
      <w:r>
        <w:t>data/customer-training-data.csv</w:t>
      </w:r>
    </w:p>
    <w:p>
      <w:pPr>
        <w:pStyle w:val="ListBullet"/>
      </w:pPr>
      <w:r>
        <w:t>data/data-dictionary.md</w:t>
      </w:r>
    </w:p>
    <w:p>
      <w:pPr>
        <w:pStyle w:val="ListBullet"/>
      </w:pPr>
      <w:r>
        <w:t>data/dataset-specification-template.md</w:t>
      </w:r>
    </w:p>
    <w:p>
      <w:pPr>
        <w:pStyle w:val="Heading2"/>
      </w:pPr>
      <w:r>
        <w:t>Step-by-step</w:t>
      </w:r>
    </w:p>
    <w:p>
      <w:pPr>
        <w:pStyle w:val="ListNumber"/>
      </w:pPr>
      <w:r>
        <w:t>Open customer-training-data.csv and data-dictionary.md in labs/lab-09-data-governance/data/. The set has 24 fields and 200 rows of fictional customer records.</w:t>
      </w:r>
    </w:p>
    <w:p>
      <w:pPr>
        <w:pStyle w:val="ListNumber"/>
      </w:pPr>
      <w:r>
        <w:t>Classify every field into one of four classes: Direct identifier (NRIC, name, phone, email), Quasi-identifier (postal code, date of birth, gender), Sensitive attribute (income, health flag, religion) or Non-personal (product code, tenure months).</w:t>
      </w:r>
    </w:p>
    <w:p>
      <w:pPr>
        <w:pStyle w:val="ListNumber"/>
      </w:pPr>
      <w:r>
        <w:t>Apply minimisation. For each field ask one question: does the churn model actually need this to predict churn? Mark every field Keep, Drop or Transform, and write the reason. Expect to drop at least eight fields.</w:t>
      </w:r>
    </w:p>
    <w:p>
      <w:pPr>
        <w:pStyle w:val="ListNumber"/>
      </w:pPr>
      <w:r>
        <w:t>Decide the de-identification method per retained field: remove, hash, generalise (age band instead of date of birth), or keep as is. Record why each method suits that field.</w:t>
      </w:r>
    </w:p>
    <w:p>
      <w:pPr>
        <w:pStyle w:val="ListNumber"/>
      </w:pPr>
      <w:r>
        <w:t>Open https://alfredang.github.io/cryptography-toolkit/ and use the AES section to encrypt a sample customer record. Use AES-256 in CBC mode with a passphrase, and note that the same input with the same key produces recoverable ciphertext.</w:t>
      </w:r>
    </w:p>
    <w:p>
      <w:r>
        <w:rPr>
          <w:rFonts w:ascii="Consolas" w:hAnsi="Consolas"/>
          <w:color w:val="0B3060"/>
          <w:sz w:val="19"/>
        </w:rPr>
        <w:t>AES-256 · CBC · passphrase</w:t>
      </w:r>
    </w:p>
    <w:p>
      <w:pPr>
        <w:pStyle w:val="ListNumber"/>
      </w:pPr>
      <w:r>
        <w:t>Now test the difference between encryption and hashing for identifiers. Encrypt an NRIC-style string, then decrypt it back. Record that encryption is reversible and therefore still personal data in the hands of the key holder.</w:t>
      </w:r>
    </w:p>
    <w:p>
      <w:pPr>
        <w:pStyle w:val="ListNumber"/>
      </w:pPr>
      <w:r>
        <w:t>Use the RSA section to generate a 2048-bit key pair, and note where asymmetric encryption fits in an AI pipeline: protecting keys and data in transit between the data platform and the training environment, not bulk field-level protection.</w:t>
      </w:r>
    </w:p>
    <w:p>
      <w:r>
        <w:rPr>
          <w:rFonts w:ascii="Consolas" w:hAnsi="Consolas"/>
          <w:color w:val="0B3060"/>
          <w:sz w:val="19"/>
        </w:rPr>
        <w:t>RSA 2048 · generate key pair</w:t>
      </w:r>
    </w:p>
    <w:p>
      <w:pPr>
        <w:pStyle w:val="ListNumber"/>
      </w:pPr>
      <w:r>
        <w:t>Use the ECDSA section to sign a short message and verify the signature. Record how signing gives you dataset integrity — proof that the training set was not altered between approval and training.</w:t>
      </w:r>
    </w:p>
    <w:p>
      <w:r>
        <w:rPr>
          <w:rFonts w:ascii="Consolas" w:hAnsi="Consolas"/>
          <w:color w:val="0B3060"/>
          <w:sz w:val="19"/>
        </w:rPr>
        <w:t>ECDSA P-256 · sign then verify</w:t>
      </w:r>
    </w:p>
    <w:p>
      <w:pPr>
        <w:pStyle w:val="ListNumber"/>
      </w:pPr>
      <w:r>
        <w:t>Write the retention and deletion rule for the governed dataset: how long the training set is kept, what happens to the model when a customer exercises deletion, and where the audit record of this decision lives.</w:t>
      </w:r>
    </w:p>
    <w:p>
      <w:pPr>
        <w:pStyle w:val="ListNumber"/>
      </w:pPr>
      <w:r>
        <w:t>Complete the dataset specification and record the lawful basis you determined for this use in Lab 8, so the data decision and the legal decision live in one document.</w:t>
      </w:r>
    </w:p>
    <w:p>
      <w:pPr>
        <w:pStyle w:val="Heading2"/>
      </w:pPr>
      <w:r>
        <w:t>Test it</w:t>
      </w:r>
    </w:p>
    <w:p>
      <w:r>
        <w:t>You dropped at least eight fields with a stated reason, every retained personal field has a de-identification method, and you can explain to a business stakeholder why hashing an identifier is not the same as anonymising the record.</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