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15 — Conduct a Full AI Security Risk Assessment</w:t>
      </w:r>
    </w:p>
    <w:p>
      <w:r>
        <w:rPr>
          <w:b/>
          <w:color w:val="1F6FEB"/>
          <w:sz w:val="20"/>
        </w:rPr>
        <w:t>Topic 04: Security Controls for Agentic AI, Risk Assessment and Implementation Roadmap</w:t>
      </w:r>
    </w:p>
    <w:p>
      <w:r>
        <w:rPr>
          <w:b/>
          <w:color w:val="1F6FEB"/>
        </w:rPr>
        <w:t xml:space="preserve">Objective:  </w:t>
      </w:r>
      <w:r>
        <w:t>Implement a structured AI risk assessment producing rated risks, mapped controls, residual risk and assigned treatments with owners.</w:t>
      </w:r>
    </w:p>
    <w:p>
      <w:r>
        <w:rPr>
          <w:b/>
          <w:color w:val="1F6FEB"/>
        </w:rPr>
        <w:t xml:space="preserve">Goal:  </w:t>
      </w:r>
      <w:r>
        <w:t>This is the assessment that a regulator, an auditor or a board will ask to see. You will run a complete structured risk assessment on NovaAssist, combining everything from the previous fourteen labs into a single defensible document with rated, owned and treated risks.</w:t>
      </w:r>
    </w:p>
    <w:p>
      <w:r>
        <w:rPr>
          <w:b/>
          <w:color w:val="1F6FEB"/>
        </w:rPr>
        <w:t xml:space="preserve">What you'll build:  </w:t>
      </w:r>
      <w:r>
        <w:t>A complete AI security risk assessment: 12 rated risks with likelihood, impact, existing controls, residual rating, treatment decision, owner and target date.</w:t>
      </w:r>
    </w:p>
    <w:p>
      <w:r>
        <w:rPr>
          <w:b/>
          <w:color w:val="1F6FEB"/>
        </w:rPr>
        <w:t xml:space="preserve">Tools and data:  </w:t>
      </w:r>
      <w:r>
        <w:t>Risk assessment template (risk-assessment-template.csv), 5x5 rating matrix, all prior lab outputs</w:t>
      </w:r>
    </w:p>
    <w:p>
      <w:pPr>
        <w:pStyle w:val="Heading2"/>
      </w:pPr>
      <w:r>
        <w:t>Data files in this lab</w:t>
      </w:r>
    </w:p>
    <w:p>
      <w:pPr>
        <w:pStyle w:val="ListBullet"/>
      </w:pPr>
      <w:r>
        <w:t>data/rating-matrix.md</w:t>
      </w:r>
    </w:p>
    <w:p>
      <w:pPr>
        <w:pStyle w:val="ListBullet"/>
      </w:pPr>
      <w:r>
        <w:t>data/risk-assessment-template.csv</w:t>
      </w:r>
    </w:p>
    <w:p>
      <w:pPr>
        <w:pStyle w:val="ListBullet"/>
      </w:pPr>
      <w:r>
        <w:t>data/risk-source-checklist.md</w:t>
      </w:r>
    </w:p>
    <w:p>
      <w:pPr>
        <w:pStyle w:val="Heading2"/>
      </w:pPr>
      <w:r>
        <w:t>Step-by-step</w:t>
      </w:r>
    </w:p>
    <w:p>
      <w:pPr>
        <w:pStyle w:val="ListNumber"/>
      </w:pPr>
      <w:r>
        <w:t>Open risk-assessment-template.csv and the rating matrix in labs/lab-15-risk-assessment/data/. Confirm the scoring: likelihood 1-5, impact 1-5, risk score as the product, with bands Low 1-6, Medium 8-12, High 15-25.</w:t>
      </w:r>
    </w:p>
    <w:p>
      <w:pPr>
        <w:pStyle w:val="ListNumber"/>
      </w:pPr>
      <w:r>
        <w:t>Define the assessment scope precisely: the system, its version, its data, its tools, its users and the boundary of the assessment. An unbounded scope produces an unusable assessment.</w:t>
      </w:r>
    </w:p>
    <w:p>
      <w:pPr>
        <w:pStyle w:val="ListNumber"/>
      </w:pPr>
      <w:r>
        <w:t>Identify twelve risks by drawing on your earlier work: the trifecta exposure from Lab 3, the NIST GenAI risks, the OWASP agentic risks from Lab 13, the data risks from Lab 9 and the PDPA risks from Lab 8.</w:t>
      </w:r>
    </w:p>
    <w:p>
      <w:pPr>
        <w:pStyle w:val="ListNumber"/>
      </w:pPr>
      <w:r>
        <w:t>Write each risk as a proper risk statement in the form: cause leads to event leads to consequence. 'Prompt injection' is not a risk statement; 'untrusted e-mail content injects instructions, causing the agent to send account data externally, resulting in a PDPA breach' is.</w:t>
      </w:r>
    </w:p>
    <w:p>
      <w:pPr>
        <w:pStyle w:val="ListNumber"/>
      </w:pPr>
      <w:r>
        <w:t>Rate inherent likelihood and impact for each risk before controls, using the matrix. Record the reasoning for any rating of 4 or 5 — those are the ratings that will be challenged.</w:t>
      </w:r>
    </w:p>
    <w:p>
      <w:pPr>
        <w:pStyle w:val="ListNumber"/>
      </w:pPr>
      <w:r>
        <w:t>Map the existing and planned controls from Labs 11 and 13 to each risk. A risk with no mapped control keeps its inherent rating; do not credit controls you have not specified.</w:t>
      </w:r>
    </w:p>
    <w:p>
      <w:pPr>
        <w:pStyle w:val="ListNumber"/>
      </w:pPr>
      <w:r>
        <w:t>Rate residual likelihood and impact after controls, and compute the residual score. Be honest: guardrails reduce likelihood, they rarely reduce impact.</w:t>
      </w:r>
    </w:p>
    <w:p>
      <w:pPr>
        <w:pStyle w:val="ListNumber"/>
      </w:pPr>
      <w:r>
        <w:t>Assign a treatment to every risk: treat, tolerate, transfer or terminate. Any residual High risk must be treated or escalated for formal acceptance by the executive owner — record which.</w:t>
      </w:r>
    </w:p>
    <w:p>
      <w:pPr>
        <w:pStyle w:val="ListNumber"/>
      </w:pPr>
      <w:r>
        <w:t>Assign an owner and a target date to every treatment action. An unowned treatment is a wish; check that every owner is a role that exists in your Lab 7 operating model.</w:t>
      </w:r>
    </w:p>
    <w:p>
      <w:pPr>
        <w:pStyle w:val="ListNumber"/>
      </w:pPr>
      <w:r>
        <w:t>Write the two-paragraph executive summary: the overall risk position, the three risks that matter most, and your clear recommendation on whether NovaAssist should go live and under what conditions.</w:t>
      </w:r>
    </w:p>
    <w:p>
      <w:pPr>
        <w:pStyle w:val="Heading2"/>
      </w:pPr>
      <w:r>
        <w:t>Test it</w:t>
      </w:r>
    </w:p>
    <w:p>
      <w:r>
        <w:t>All twelve risks are written as cause-event-consequence statements, every residual High risk has either a treatment plan or a recorded acceptance by a named executive, and every treatment has an owner who exists in your operating model.</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