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Strategic Mergers and Acquisitions - Valuation, Risk, and Integration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TGS-2026061581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13 August 2026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Expanded source-aligned release with real-world Bonadio–TGA activities, valuation, risk and integration content.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Structure, Valuation, Forecasting and Tax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Risk, Intelligence, Integration and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Activity Breakdown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 — Deal Structuring and Valuation Principles · Slides 20–50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 — Forecasting, Financial and Tax Implications · Slides 51–80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 — Target Identification, Risk and Intelligence · Slides 81–110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4 — Stakeholder Alignment and Post-Merger Integration · Slides 111–149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7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 WSQ course develops the ability to structure, value, risk-manage and integrate M&amp;A transactions. A progressive real-world case links strategy, finance, diligence, governance and post-merger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Course 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TGS-2026061581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TSC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WST-CFI-5003-1.1-1 — Mergers and Acquisition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2 days · 16 hours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Training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14 hours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Assessment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WA 1 hour + Case Study 1 hour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Daily 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9:00am–6:00pm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Apply financial instruments and valuation methods to structure mergers and acquisitions that optimise organisational benefit and shareholder value.</w:t>
      </w:r>
    </w:p>
    <w:p>
      <w:pPr>
        <w:pStyle w:val="ListBullet"/>
      </w:pPr>
      <w:r>
        <w:t>LO2: Evaluate the business, financial and tax impact of potential M&amp;A deals using industry data and forecasting techniques.</w:t>
      </w:r>
    </w:p>
    <w:p>
      <w:pPr>
        <w:pStyle w:val="ListBullet"/>
      </w:pPr>
      <w:r>
        <w:t>LO3: Identify, assess and manage M&amp;A risks across the full transaction lifecycle from target selection to post-deal integration.</w:t>
      </w:r>
    </w:p>
    <w:p>
      <w:pPr>
        <w:pStyle w:val="ListBullet"/>
      </w:pPr>
      <w:r>
        <w:t>LO4: Collaborate with stakeholders to develop and implement M&amp;A plans while ensuring governance, synergy realisation and strategic alignment.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Structure, Valuation, Forecasting and Tax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9:00–9:30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Welcome, attendance, outcomes and assessment briefing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9:30–12:15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165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1 — Deal Structuring and Valuation Principles; Activities 1–2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20–50</w:t>
            </w:r>
          </w:p>
        </w:tc>
      </w:tr>
      <w:tr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12:15–13:15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 break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13:15–15:30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135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2 — Forecasting, Financial and Tax Implications; Activity 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51–80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15:30–15:40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Afternoon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15:40–17:45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125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2 continued; Activity 4 and Day 1 deal-team review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51–80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17:45–18:00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Day 1 recap and reflection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Reflection ·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Total training/assessment time excluding lunch: 480 minutes (8.0 hours).</w:t>
      </w:r>
    </w:p>
    <w:p>
      <w:pPr>
        <w:pStyle w:val="Heading2"/>
      </w:pPr>
      <w:r>
        <w:t>Day 2 — Risk, Intelligence, Integration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9:00–11:45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165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3 — Target Identification, Risk and Intelligence; Activities 5–6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81–110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11:45–11:55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Morning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11:55–12:40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45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3 decision gates and risk review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81–110</w:t>
            </w:r>
          </w:p>
        </w:tc>
      </w:tr>
      <w:tr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12:40–13:40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 break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13:40–15:45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125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4 — Stakeholder Alignment and Integration; Activities 7–8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111–149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15:45–16:00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Course synthesis and assessment preparation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Reflection ·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16:00–17:00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Written Assessment (WA-SAQ)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Assessment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17:00–18:00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Case Study Assessment (CS)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Assessment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Total training/assessment time excluding lunch: 480 minutes (8.0 hours).</w:t>
      </w:r>
    </w:p>
    <w:p>
      <w:pPr>
        <w:pStyle w:val="Heading1"/>
      </w:pPr>
      <w:r>
        <w:t>Topic and Activity Breakdown</w:t>
      </w:r>
    </w:p>
    <w:p>
      <w:pPr>
        <w:pStyle w:val="Heading2"/>
      </w:pPr>
      <w:r>
        <w:t>Topic 1 — Deal Structuring and Valuation Principles · Slides 20–50</w:t>
      </w:r>
    </w:p>
    <w:p>
      <w:r>
        <w:t>Mapping: K1 · K3 · A1. Financial instruments · valuation · shareholder value · economies of scale.</w:t>
      </w:r>
    </w:p>
    <w:p>
      <w:pPr>
        <w:pStyle w:val="Heading3"/>
      </w:pPr>
      <w:r>
        <w:t>Activity 1 — Bonadio–TGA Deal Thesis and Structure Lab · Slide 41</w:t>
      </w:r>
    </w:p>
    <w:p>
      <w:r>
        <w:t>Use the announced Bonadio–TGA professional-services transaction to build a defensible strategic thesis and term-sheet architecture.</w:t>
      </w:r>
    </w:p>
    <w:p>
      <w:pPr>
        <w:pStyle w:val="ListBullet"/>
      </w:pPr>
      <w:r>
        <w:t>Output: Deal Thesis and Structure Decision Page (PDF or DOCX)</w:t>
      </w:r>
    </w:p>
    <w:p>
      <w:pPr>
        <w:pStyle w:val="ListBullet"/>
      </w:pPr>
      <w:r>
        <w:t>Acceptance: The page distinguishes facts from assumptions, proposes at least two instruments, links each term to a risk or value driver, and includes an explicit go/conditional/no-go recommendation.</w:t>
      </w:r>
    </w:p>
    <w:p>
      <w:pPr>
        <w:pStyle w:val="Heading3"/>
      </w:pPr>
      <w:r>
        <w:t>Activity 2 — Bonadio–TGA Valuation Triangulation Lab · Slide 45</w:t>
      </w:r>
    </w:p>
    <w:p>
      <w:r>
        <w:t>Build a screening valuation for the real announced transaction using clearly labelled training assumptions because the deal's financial terms were not disclosed.</w:t>
      </w:r>
    </w:p>
    <w:p>
      <w:pPr>
        <w:pStyle w:val="ListBullet"/>
      </w:pPr>
      <w:r>
        <w:t>Output: Valuation Workbook and one-page Valuation Range Memo</w:t>
      </w:r>
    </w:p>
    <w:p>
      <w:pPr>
        <w:pStyle w:val="ListBullet"/>
      </w:pPr>
      <w:r>
        <w:t>Acceptance: The model is formula-driven, shows sources/assumptions, has a working sensitivity table and reconciles DCF with the multiple range without claiming undisclosed deal facts.</w:t>
      </w:r>
    </w:p>
    <w:p>
      <w:pPr>
        <w:pStyle w:val="Heading2"/>
      </w:pPr>
      <w:r>
        <w:t>Topic 2 — Forecasting, Financial and Tax Implications · Slides 51–80</w:t>
      </w:r>
    </w:p>
    <w:p>
      <w:r>
        <w:t>Mapping: K2 · K5 · A1 · A2. Business impact · synergies · pro forma statements · tax.</w:t>
      </w:r>
    </w:p>
    <w:p>
      <w:pPr>
        <w:pStyle w:val="Heading3"/>
      </w:pPr>
      <w:r>
        <w:t>Activity 3 — Bonadio–TGA Three-Year Synergy Forecast Lab · Slide 71</w:t>
      </w:r>
    </w:p>
    <w:p>
      <w:r>
        <w:t>Translate the public strategic rationale into a three-year base/downside/upside forecast with a traceable synergy bridge.</w:t>
      </w:r>
    </w:p>
    <w:p>
      <w:pPr>
        <w:pStyle w:val="ListBullet"/>
      </w:pPr>
      <w:r>
        <w:t>Output: Three-Year Synergy Model, Synergy Register and Management Dashboard</w:t>
      </w:r>
    </w:p>
    <w:p>
      <w:pPr>
        <w:pStyle w:val="ListBullet"/>
      </w:pPr>
      <w:r>
        <w:t>Acceptance: Standalone and synergy cases are separate; every synergy has an owner and timing; cash impact includes cost-to-achieve and tax; downside results are visible.</w:t>
      </w:r>
    </w:p>
    <w:p>
      <w:pPr>
        <w:pStyle w:val="Heading3"/>
      </w:pPr>
      <w:r>
        <w:t>Activity 4 — Bonadio–TGA Pro Forma and Tax Challenge Lab · Slide 75</w:t>
      </w:r>
    </w:p>
    <w:p>
      <w:r>
        <w:t>Trace an illustrative acquisition through the income statement, balance sheet and cash flow, then challenge tax and control assumptions.</w:t>
      </w:r>
    </w:p>
    <w:p>
      <w:pPr>
        <w:pStyle w:val="ListBullet"/>
      </w:pPr>
      <w:r>
        <w:t>Output: Pro Forma Impact Pack and Board Challenge Paper</w:t>
      </w:r>
    </w:p>
    <w:p>
      <w:pPr>
        <w:pStyle w:val="ListBullet"/>
      </w:pPr>
      <w:r>
        <w:t>Acceptance: The pack ties across sources/uses and statement bridges, labels training assumptions, distinguishes cash/non-cash and recurring/one-off items, and lists unresolved tax evidence.</w:t>
      </w:r>
    </w:p>
    <w:p>
      <w:pPr>
        <w:pStyle w:val="Heading2"/>
      </w:pPr>
      <w:r>
        <w:t>Topic 3 — Target Identification, Risk and Intelligence · Slides 81–110</w:t>
      </w:r>
    </w:p>
    <w:p>
      <w:r>
        <w:t>Mapping: K4 · A4 · A5 · A6. Industry intelligence · screening · diligence · risk · BI.</w:t>
      </w:r>
    </w:p>
    <w:p>
      <w:pPr>
        <w:pStyle w:val="Heading3"/>
      </w:pPr>
      <w:r>
        <w:t>Activity 5 — Bonadio–TGA Target Screening and Diligence Lab · Slide 101</w:t>
      </w:r>
    </w:p>
    <w:p>
      <w:r>
        <w:t>Convert the public transaction rationale into a target-screening scorecard and a diligence plan that tests specialist capability, client trust and regulatory quality.</w:t>
      </w:r>
    </w:p>
    <w:p>
      <w:pPr>
        <w:pStyle w:val="ListBullet"/>
      </w:pPr>
      <w:r>
        <w:t>Output: Target Screening and Diligence Workplan</w:t>
      </w:r>
    </w:p>
    <w:p>
      <w:pPr>
        <w:pStyle w:val="ListBullet"/>
      </w:pPr>
      <w:r>
        <w:t>Acceptance: Weights total 100%, scores cite evidence status, every high-risk item has an owner and decision impact, and diligence findings flow into integration actions.</w:t>
      </w:r>
    </w:p>
    <w:p>
      <w:pPr>
        <w:pStyle w:val="Heading3"/>
      </w:pPr>
      <w:r>
        <w:t>Activity 6 — Bonadio–TGA M&amp;A Risk Intelligence Lab · Slide 105</w:t>
      </w:r>
    </w:p>
    <w:p>
      <w:r>
        <w:t>Apply the MDPI risk themes and the SSRN enterprise-risk framework to the real announced deal, then create a decision dashboard and escalation memo.</w:t>
      </w:r>
    </w:p>
    <w:p>
      <w:pPr>
        <w:pStyle w:val="ListBullet"/>
      </w:pPr>
      <w:r>
        <w:t>Output: Risk Intelligence Dashboard and Independent Risk Committee Memo</w:t>
      </w:r>
    </w:p>
    <w:p>
      <w:pPr>
        <w:pStyle w:val="ListBullet"/>
      </w:pPr>
      <w:r>
        <w:t>Acceptance: Risk statements are specific, scoring scales are defined, controls have owners, dashboard thresholds are actionable and the recommendation follows the evidence.</w:t>
      </w:r>
    </w:p>
    <w:p>
      <w:pPr>
        <w:pStyle w:val="Heading2"/>
      </w:pPr>
      <w:r>
        <w:t>Topic 4 — Stakeholder Alignment and Post-Merger Integration · Slides 111–149</w:t>
      </w:r>
    </w:p>
    <w:p>
      <w:r>
        <w:t>Mapping: A2 · A3 · K2. Governance · checks and balances · IMO · culture · change.</w:t>
      </w:r>
    </w:p>
    <w:p>
      <w:pPr>
        <w:pStyle w:val="Heading3"/>
      </w:pPr>
      <w:r>
        <w:t>Activity 7 — Bonadio–TGA Integration Program Design Lab · Slide 131</w:t>
      </w:r>
    </w:p>
    <w:p>
      <w:r>
        <w:t>Use EY's nine-step integration framework to turn the Bonadio–TGA deal thesis and diligence findings into a Day One and first-100-days program.</w:t>
      </w:r>
    </w:p>
    <w:p>
      <w:pPr>
        <w:pStyle w:val="ListBullet"/>
      </w:pPr>
      <w:r>
        <w:t>Output: Integration Program Blueprint and 100-Day Roadmap</w:t>
      </w:r>
    </w:p>
    <w:p>
      <w:pPr>
        <w:pStyle w:val="ListBullet"/>
      </w:pPr>
      <w:r>
        <w:t>Acceptance: The blueprint maps all nine EY steps, separates pre-close planning from post-close control, assigns governance and owners, and links integration actions to value and risk.</w:t>
      </w:r>
    </w:p>
    <w:p>
      <w:pPr>
        <w:pStyle w:val="Heading3"/>
      </w:pPr>
      <w:r>
        <w:t>Activity 8 — Bonadio–TGA Culture, Talent and Client Continuity Lab · Slide 135</w:t>
      </w:r>
    </w:p>
    <w:p>
      <w:r>
        <w:t>Use the professional-services M&amp;A briefing to design a people-and-client integration plan that preserves specialist identity while enabling scaled capabilities.</w:t>
      </w:r>
    </w:p>
    <w:p>
      <w:pPr>
        <w:pStyle w:val="ListBullet"/>
      </w:pPr>
      <w:r>
        <w:t>Output: People, Culture and Client Continuity Playbook</w:t>
      </w:r>
    </w:p>
    <w:p>
      <w:pPr>
        <w:pStyle w:val="ListBullet"/>
      </w:pPr>
      <w:r>
        <w:t>Acceptance: The playbook distinguishes preservation from standardisation, names owners and indicators, covers critical talent and clients, and includes a tested response to an early warning.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slide deck and Learner Guide</w:t>
      </w:r>
    </w:p>
    <w:p>
      <w:pPr>
        <w:pStyle w:val="ListBullet"/>
      </w:pPr>
      <w:r>
        <w:t>Individual activity folders and submission templates</w:t>
      </w:r>
    </w:p>
    <w:p>
      <w:pPr>
        <w:pStyle w:val="ListBullet"/>
      </w:pPr>
      <w:r>
        <w:t>Spreadsheet software for Activities 2–4</w:t>
      </w:r>
    </w:p>
    <w:p>
      <w:pPr>
        <w:pStyle w:val="ListBullet"/>
      </w:pPr>
      <w:r>
        <w:t>Internet access for cited public sources</w:t>
      </w:r>
    </w:p>
    <w:p>
      <w:pPr>
        <w:pStyle w:val="ListBullet"/>
      </w:pPr>
      <w:r>
        <w:t>LMS access for courseware and assessment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(WA-SAQ) — 4 open-ended questions, 1 hour, open book.</w:t>
      </w:r>
    </w:p>
    <w:p>
      <w:pPr>
        <w:pStyle w:val="ListBullet"/>
      </w:pPr>
      <w:r>
        <w:t>Case Study Assessment (CS) — 3 integrated tasks, 1 hour, open book.</w:t>
      </w:r>
    </w:p>
    <w:p>
      <w:pPr>
        <w:pStyle w:val="ListBullet"/>
      </w:pPr>
      <w:r>
        <w:t>Competency requires satisfactory evidence across K1–K5 and A1–A6, plus at least 75% attendance.</w:t>
      </w:r>
    </w:p>
    <w:p>
      <w:pPr>
        <w:pStyle w:val="ListBullet"/>
      </w:pPr>
      <w:r>
        <w:t>Assessment block: Day 2, 4:00pm–6:00pm.</w:t>
      </w:r>
    </w:p>
    <w:p>
      <w:pPr>
        <w:pStyle w:val="ListBullet"/>
      </w:pPr>
      <w:r>
        <w:t>Order: SSG attendance → WA → CS → LMS submission → Assessment Summary Record.</w:t>
      </w:r>
    </w:p>
    <w:p>
      <w:r>
        <w:t xml:space="preserve">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