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40"/>
        <w:jc w:val="center"/>
      </w:pPr>
      <w:r>
        <w:rPr>
          <w:rFonts w:ascii="Arial" w:hAnsi="Arial"/>
          <w:b/>
          <w:color w:val="1F6FEB"/>
          <w:sz w:val="48"/>
        </w:rPr>
        <w:t>LESSON PLAN</w:t>
      </w:r>
    </w:p>
    <w:p>
      <w:pPr>
        <w:spacing w:before="360"/>
        <w:jc w:val="center"/>
      </w:pPr>
      <w:r>
        <w:rPr>
          <w:rFonts w:ascii="Arial" w:hAnsi="Arial"/>
          <w:b/>
          <w:sz w:val="44"/>
        </w:rPr>
        <w:t>Xero Essentials for SMEs: Streamlining Accounting and Tax Operations</w:t>
      </w:r>
    </w:p>
    <w:p>
      <w:pPr>
        <w:jc w:val="center"/>
      </w:pPr>
      <w:r>
        <w:t>TGS Ref No: TGS-2020505315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13.0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12.0</w:t>
            </w:r>
          </w:p>
        </w:tc>
        <w:tc>
          <w:tcPr>
            <w:tcW w:type="dxa" w:w="2498"/>
            <w:vAlign w:val="center"/>
          </w:tcPr>
          <w:p>
            <w:r>
              <w:t>Legacy release</w:t>
            </w:r>
          </w:p>
        </w:tc>
        <w:tc>
          <w:tcPr>
            <w:tcW w:type="dxa" w:w="2498"/>
            <w:vAlign w:val="center"/>
          </w:tcPr>
          <w:p>
            <w:r>
              <w:t>Legacy trainer deck and course documents</w:t>
            </w:r>
          </w:p>
        </w:tc>
        <w:tc>
          <w:tcPr>
            <w:tcW w:type="dxa" w:w="2498"/>
            <w:vAlign w:val="center"/>
          </w:tcPr>
          <w:p>
            <w:r>
              <w:t>Tertiary Infotech Academy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13.0</w:t>
            </w:r>
          </w:p>
        </w:tc>
        <w:tc>
          <w:tcPr>
            <w:tcW w:type="dxa" w:w="2498"/>
            <w:vAlign w:val="center"/>
          </w:tcPr>
          <w:p>
            <w:r>
              <w:t>16 August 2026</w:t>
            </w:r>
          </w:p>
        </w:tc>
        <w:tc>
          <w:tcPr>
            <w:tcW w:type="dxa" w:w="2498"/>
            <w:vAlign w:val="center"/>
          </w:tcPr>
          <w:p>
            <w:r>
              <w:t>One-day v13 lesson plan aligned to the final slide map, ten progressive activities, WA (60 min) and Oral Questioning (20 min).</w:t>
            </w:r>
          </w:p>
        </w:tc>
        <w:tc>
          <w:tcPr>
            <w:tcW w:type="dxa" w:w="2498"/>
            <w:vAlign w:val="center"/>
          </w:tcPr>
          <w:p>
            <w:r>
              <w:t>Tertiary Infotech Academy Pte Ltd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Subtitle"/>
      </w:pPr>
      <w:r>
        <w:t>Document contents</w:t>
      </w:r>
    </w:p>
    <w:p>
      <w:pPr>
        <w:pStyle w:val="ListBullet"/>
      </w:pPr>
      <w:r>
        <w:t>Course Information</w:t>
      </w:r>
    </w:p>
    <w:p>
      <w:pPr>
        <w:pStyle w:val="ListBullet"/>
      </w:pPr>
      <w:r>
        <w:t>Learning Outcomes</w:t>
      </w:r>
    </w:p>
    <w:p>
      <w:pPr>
        <w:pStyle w:val="ListBullet"/>
      </w:pPr>
      <w:r>
        <w:t>Course Schedule</w:t>
      </w:r>
    </w:p>
    <w:p>
      <w:pPr>
        <w:pStyle w:val="ListBullet"/>
      </w:pPr>
      <w:r>
        <w:t>Activity-to-Slide and Assessment Alignment</w:t>
      </w:r>
    </w:p>
    <w:p>
      <w:pPr>
        <w:pStyle w:val="ListBullet"/>
      </w:pPr>
      <w:r>
        <w:t>Facilitation and Evidence Notes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997"/>
          </w:tcPr>
          <w:p>
            <w:r>
              <w:t>Xero Essentials for SMEs: Streamlining Accounting and Tax Operations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TGS-2020505315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997"/>
          </w:tcPr>
          <w:p>
            <w:r>
              <w:t>Accounting and Tax System · ACC-ICT-4001-1.1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 day · 8 hours · 9:30 AM–6:30 PM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Mode</w:t>
            </w:r>
          </w:p>
        </w:tc>
        <w:tc>
          <w:tcPr>
            <w:tcW w:type="dxa" w:w="4997"/>
          </w:tcPr>
          <w:p>
            <w:r>
              <w:t>Instructor-led concepts, demonstrations and progressive Xero activities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4997"/>
          </w:tcPr>
          <w:p>
            <w:r>
              <w:t>WA (SAQ) 60 min + OQ 20 min per approved assessment plan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Configure and import relevant data to the Xero accounting system.</w:t>
      </w:r>
    </w:p>
    <w:p>
      <w:pPr>
        <w:pStyle w:val="ListBullet"/>
      </w:pPr>
      <w:r>
        <w:t>LO2: Input and control day-to-day sales, purchasing, banking and inventory data in Xero.</w:t>
      </w:r>
    </w:p>
    <w:p>
      <w:pPr>
        <w:pStyle w:val="ListBullet"/>
      </w:pPr>
      <w:r>
        <w:t>LO3: Compute and review GST for expenses and invoices using appropriate Singapore tax rates.</w:t>
      </w:r>
    </w:p>
    <w:p>
      <w:pPr>
        <w:pStyle w:val="ListBullet"/>
      </w:pPr>
      <w:r>
        <w:t>LO4: Generate and interpret financial, accounting, ageing and GST reports for SME decisions.</w:t>
      </w:r>
    </w:p>
    <w:p>
      <w:pPr>
        <w:pStyle w:val="Heading1"/>
      </w:pPr>
      <w:r>
        <w:t>Course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and activity focus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 reference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09:30–09:50</w:t>
            </w:r>
          </w:p>
        </w:tc>
        <w:tc>
          <w:tcPr>
            <w:tcW w:type="dxa" w:w="2498"/>
            <w:vAlign w:val="center"/>
          </w:tcPr>
          <w:p>
            <w:r>
              <w:t>Administration</w:t>
            </w:r>
          </w:p>
        </w:tc>
        <w:tc>
          <w:tcPr>
            <w:tcW w:type="dxa" w:w="2498"/>
            <w:vAlign w:val="center"/>
          </w:tcPr>
          <w:p>
            <w:r>
              <w:t>Welcome, attendance, trainer profiles, outcomes and assessment briefing</w:t>
            </w:r>
          </w:p>
        </w:tc>
        <w:tc>
          <w:tcPr>
            <w:tcW w:type="dxa" w:w="2498"/>
            <w:vAlign w:val="center"/>
          </w:tcPr>
          <w:p>
            <w:r>
              <w:t>Slides 1–14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09:50–11:00</w:t>
            </w:r>
          </w:p>
        </w:tc>
        <w:tc>
          <w:tcPr>
            <w:tcW w:type="dxa" w:w="2498"/>
            <w:vAlign w:val="center"/>
          </w:tcPr>
          <w:p>
            <w:r>
              <w:t>Topic 1</w:t>
            </w:r>
          </w:p>
        </w:tc>
        <w:tc>
          <w:tcPr>
            <w:tcW w:type="dxa" w:w="2498"/>
            <w:vAlign w:val="center"/>
          </w:tcPr>
          <w:p>
            <w:r>
              <w:t>Xero foundations, organisation setup and Activities 1–2</w:t>
            </w:r>
          </w:p>
        </w:tc>
        <w:tc>
          <w:tcPr>
            <w:tcW w:type="dxa" w:w="2498"/>
            <w:vAlign w:val="center"/>
          </w:tcPr>
          <w:p>
            <w:r>
              <w:t>Slides 15–40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11:00–11:10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Morning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11:10–12:45</w:t>
            </w:r>
          </w:p>
        </w:tc>
        <w:tc>
          <w:tcPr>
            <w:tcW w:type="dxa" w:w="2498"/>
            <w:vAlign w:val="center"/>
          </w:tcPr>
          <w:p>
            <w:r>
              <w:t>Topic 2</w:t>
            </w:r>
          </w:p>
        </w:tc>
        <w:tc>
          <w:tcPr>
            <w:tcW w:type="dxa" w:w="2498"/>
            <w:vAlign w:val="center"/>
          </w:tcPr>
          <w:p>
            <w:r>
              <w:t>Banking, sales, purchasing, inventory and Activities 3–6</w:t>
            </w:r>
          </w:p>
        </w:tc>
        <w:tc>
          <w:tcPr>
            <w:tcW w:type="dxa" w:w="2498"/>
            <w:vAlign w:val="center"/>
          </w:tcPr>
          <w:p>
            <w:r>
              <w:t>Slides 41–71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12:45–13:45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Lunch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Lunch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13:45–15:00</w:t>
            </w:r>
          </w:p>
        </w:tc>
        <w:tc>
          <w:tcPr>
            <w:tcW w:type="dxa" w:w="2498"/>
            <w:vAlign w:val="center"/>
          </w:tcPr>
          <w:p>
            <w:r>
              <w:t>Topic 3</w:t>
            </w:r>
          </w:p>
        </w:tc>
        <w:tc>
          <w:tcPr>
            <w:tcW w:type="dxa" w:w="2498"/>
            <w:vAlign w:val="center"/>
          </w:tcPr>
          <w:p>
            <w:r>
              <w:t>GST concepts, controls and Activities 7–8</w:t>
            </w:r>
          </w:p>
        </w:tc>
        <w:tc>
          <w:tcPr>
            <w:tcW w:type="dxa" w:w="2498"/>
            <w:vAlign w:val="center"/>
          </w:tcPr>
          <w:p>
            <w:r>
              <w:t>Slides 72–94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FFF4E5"/>
          </w:tcPr>
          <w:p>
            <w:r>
              <w:t>15:00–15:10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Afternoon break</w:t>
            </w:r>
          </w:p>
        </w:tc>
        <w:tc>
          <w:tcPr>
            <w:tcW w:type="dxa" w:w="2498"/>
            <w:vAlign w:val="center"/>
            <w:shd w:fill="FFF4E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r>
              <w:t>15:10–16:45</w:t>
            </w:r>
          </w:p>
        </w:tc>
        <w:tc>
          <w:tcPr>
            <w:tcW w:type="dxa" w:w="2498"/>
            <w:vAlign w:val="center"/>
          </w:tcPr>
          <w:p>
            <w:r>
              <w:t>Topic 4</w:t>
            </w:r>
          </w:p>
        </w:tc>
        <w:tc>
          <w:tcPr>
            <w:tcW w:type="dxa" w:w="2498"/>
            <w:vAlign w:val="center"/>
          </w:tcPr>
          <w:p>
            <w:r>
              <w:t>Reports, interpretation, Activities 9–10 and wrap-up</w:t>
            </w:r>
          </w:p>
        </w:tc>
        <w:tc>
          <w:tcPr>
            <w:tcW w:type="dxa" w:w="2498"/>
            <w:vAlign w:val="center"/>
          </w:tcPr>
          <w:p>
            <w:r>
              <w:t>Slides 95–119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16:45–17:10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Assessment briefing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Digital attendance, instructions and readiness check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122–124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17:10–18:10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Written Assessment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WA (SAQ), 60 minutes, open book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122–124</w:t>
            </w:r>
          </w:p>
        </w:tc>
      </w:tr>
      <w:tr>
        <w:trPr>
          <w:cantSplit/>
        </w:trPr>
        <w:tc>
          <w:tcPr>
            <w:tcW w:type="dxa" w:w="2498"/>
            <w:vAlign w:val="center"/>
            <w:shd w:fill="E8F7EE"/>
          </w:tcPr>
          <w:p>
            <w:r>
              <w:t>18:10–18:30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Oral Questioning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OQ, 20 minutes per approved assessment plan; assessor scheduling applies</w:t>
            </w:r>
          </w:p>
        </w:tc>
        <w:tc>
          <w:tcPr>
            <w:tcW w:type="dxa" w:w="2498"/>
            <w:vAlign w:val="center"/>
            <w:shd w:fill="E8F7EE"/>
          </w:tcPr>
          <w:p>
            <w:r>
              <w:t>Slides 122–124</w:t>
            </w:r>
          </w:p>
        </w:tc>
      </w:tr>
    </w:tbl>
    <w:p>
      <w:pPr>
        <w:pStyle w:val="Heading1"/>
      </w:pPr>
      <w:r>
        <w:t>Activity-to-Slide and Assessment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Overview slide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01: Set Up the SME Organisation and Control Profile</w:t>
            </w:r>
          </w:p>
        </w:tc>
        <w:tc>
          <w:tcPr>
            <w:tcW w:type="dxa" w:w="2498"/>
          </w:tcPr>
          <w:p>
            <w:r>
              <w:t>1</w:t>
            </w:r>
          </w:p>
        </w:tc>
        <w:tc>
          <w:tcPr>
            <w:tcW w:type="dxa" w:w="2498"/>
          </w:tcPr>
          <w:p>
            <w:r>
              <w:t>A1 · K1</w:t>
            </w:r>
          </w:p>
        </w:tc>
        <w:tc>
          <w:tcPr>
            <w:tcW w:type="dxa" w:w="2498"/>
          </w:tcPr>
          <w:p>
            <w:r>
              <w:t>38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02: Clean and Import Master Data</w:t>
            </w:r>
          </w:p>
        </w:tc>
        <w:tc>
          <w:tcPr>
            <w:tcW w:type="dxa" w:w="2498"/>
          </w:tcPr>
          <w:p>
            <w:r>
              <w:t>1</w:t>
            </w:r>
          </w:p>
        </w:tc>
        <w:tc>
          <w:tcPr>
            <w:tcW w:type="dxa" w:w="2498"/>
          </w:tcPr>
          <w:p>
            <w:r>
              <w:t>A1 · K1</w:t>
            </w:r>
          </w:p>
        </w:tc>
        <w:tc>
          <w:tcPr>
            <w:tcW w:type="dxa" w:w="2498"/>
          </w:tcPr>
          <w:p>
            <w:r>
              <w:t>39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03: Import Banking Data and Reconcile July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67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04: Process the Quote-to-Cash Cycle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68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05: Process Purchasing and Payables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69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06: Control Inventory, Tracking Categories and History</w:t>
            </w:r>
          </w:p>
        </w:tc>
        <w:tc>
          <w:tcPr>
            <w:tcW w:type="dxa" w:w="2498"/>
          </w:tcPr>
          <w:p>
            <w:r>
              <w:t>2</w:t>
            </w:r>
          </w:p>
        </w:tc>
        <w:tc>
          <w:tcPr>
            <w:tcW w:type="dxa" w:w="2498"/>
          </w:tcPr>
          <w:p>
            <w:r>
              <w:t>A2 · K2</w:t>
            </w:r>
          </w:p>
        </w:tc>
        <w:tc>
          <w:tcPr>
            <w:tcW w:type="dxa" w:w="2498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07: Code and Validate GST Transactions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A3 · K3 · K4</w:t>
            </w:r>
          </w:p>
        </w:tc>
        <w:tc>
          <w:tcPr>
            <w:tcW w:type="dxa" w:w="2498"/>
          </w:tcPr>
          <w:p>
            <w:r>
              <w:t>92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08: Prepare the GST F5 Review Pack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A3 · K3 · K4</w:t>
            </w:r>
          </w:p>
        </w:tc>
        <w:tc>
          <w:tcPr>
            <w:tcW w:type="dxa" w:w="2498"/>
          </w:tcPr>
          <w:p>
            <w:r>
              <w:t>93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09: Build and Interpret the SME Reporting Pack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A4 · K5</w:t>
            </w:r>
          </w:p>
        </w:tc>
        <w:tc>
          <w:tcPr>
            <w:tcW w:type="dxa" w:w="2498"/>
          </w:tcPr>
          <w:p>
            <w:r>
              <w:t>117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Activity 10: Capstone: Complete the Month-End Close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A1 · A2 · A3 · A4 · K1–K5</w:t>
            </w:r>
          </w:p>
        </w:tc>
        <w:tc>
          <w:tcPr>
            <w:tcW w:type="dxa" w:w="2498"/>
          </w:tcPr>
          <w:p>
            <w:r>
              <w:t>118</w:t>
            </w:r>
          </w:p>
        </w:tc>
      </w:tr>
    </w:tbl>
    <w:p>
      <w:r>
        <w:br w:type="page"/>
      </w:r>
    </w:p>
    <w:p>
      <w:pPr>
        <w:pStyle w:val="Heading1"/>
      </w:pPr>
      <w:r>
        <w:t>Facilitation and Evidence Notes</w:t>
      </w:r>
    </w:p>
    <w:p>
      <w:pPr>
        <w:pStyle w:val="ListBullet"/>
      </w:pPr>
      <w:r>
        <w:t>Keep click-by-click software procedures in the Learner Guide and activity packs; use the deck for concepts, controls and debrief.</w:t>
      </w:r>
    </w:p>
    <w:p>
      <w:pPr>
        <w:pStyle w:val="ListBullet"/>
      </w:pPr>
      <w:r>
        <w:t>Demonstrate current Xero navigation but teach the control intent so learners can adapt to UI changes.</w:t>
      </w:r>
    </w:p>
    <w:p>
      <w:pPr>
        <w:pStyle w:val="ListBullet"/>
      </w:pPr>
      <w:r>
        <w:t>Use Lumina Homeware Pte Ltd as the connected scenario across all ten activities.</w:t>
      </w:r>
    </w:p>
    <w:p>
      <w:pPr>
        <w:pStyle w:val="ListBullet"/>
      </w:pPr>
      <w:r>
        <w:t>Confirm the assessment sequence and digital attendance before 5:10 PM.</w:t>
      </w:r>
    </w:p>
    <w:p>
      <w:pPr>
        <w:pStyle w:val="ListBullet"/>
      </w:pPr>
      <w:r>
        <w:t>Do not expose answer keys to learners or link them from the LMS.</w:t>
      </w:r>
    </w:p>
    <w:sectPr w:rsidR="00FC693F" w:rsidRPr="0006063C" w:rsidSect="00034616"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372"/>
        <w:sz w:val="16"/>
      </w:rPr>
      <w:t xml:space="preserve">© 2026 Tertiary Infotech Academy Pte Ltd · TGS-2020505315 · Page </w:t>
    </w:r>
    <w:fldSimple w:instr="PAGE"/>
    <w:r>
      <w:rPr>
        <w:rFonts w:ascii="Arial" w:hAnsi="Arial"/>
        <w:color w:val="5B6372"/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B9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