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sz w:val="26"/>
        </w:rPr>
        <w:t>Tertiary Infotech Academy Pte. Ltd.</w:t>
      </w:r>
    </w:p>
    <w:p>
      <w:pPr>
        <w:spacing w:after="440"/>
        <w:jc w:val="center"/>
      </w:pPr>
      <w:r>
        <w:rPr>
          <w:rFonts w:ascii="Arial" w:hAnsi="Arial"/>
          <w:b w:val="0"/>
          <w:sz w:val="20"/>
        </w:rPr>
        <w:t>UEN: 201200696W</w:t>
      </w:r>
    </w:p>
    <w:p>
      <w:pPr>
        <w:spacing w:after="360"/>
        <w:jc w:val="center"/>
      </w:pPr>
      <w:r>
        <w:rPr>
          <w:rFonts w:ascii="Arial" w:hAnsi="Arial"/>
          <w:b/>
          <w:sz w:val="52"/>
        </w:rPr>
        <w:t>LESSON PLAN</w:t>
      </w:r>
    </w:p>
    <w:p>
      <w:pPr>
        <w:spacing w:after="200"/>
        <w:jc w:val="center"/>
      </w:pPr>
      <w:r>
        <w:rPr>
          <w:rFonts w:ascii="Arial" w:hAnsi="Arial"/>
          <w:b w:val="0"/>
          <w:sz w:val="24"/>
        </w:rPr>
        <w:t>For</w:t>
      </w:r>
    </w:p>
    <w:p>
      <w:pPr>
        <w:spacing w:after="280"/>
        <w:jc w:val="center"/>
      </w:pPr>
      <w:r>
        <w:rPr>
          <w:rFonts w:ascii="Arial" w:hAnsi="Arial"/>
          <w:b/>
          <w:sz w:val="40"/>
        </w:rPr>
        <w:t>3D Modelling with Blender for Beginners</w:t>
      </w:r>
    </w:p>
    <w:p>
      <w:pPr>
        <w:spacing w:after="360"/>
        <w:jc w:val="center"/>
      </w:pPr>
      <w:r>
        <w:rPr>
          <w:rFonts w:ascii="Arial" w:hAnsi="Arial"/>
          <w:b w:val="0"/>
          <w:sz w:val="24"/>
        </w:rPr>
        <w:t>TGS Ref No: TGS-2022015368</w:t>
      </w:r>
    </w:p>
    <w:p>
      <w:pPr>
        <w:spacing w:after="160"/>
        <w:jc w:val="center"/>
      </w:pPr>
      <w:r>
        <w:rPr>
          <w:rFonts w:ascii="Arial" w:hAnsi="Arial"/>
          <w:b w:val="0"/>
          <w:sz w:val="24"/>
        </w:rPr>
        <w:t>Conducted by</w:t>
      </w:r>
    </w:p>
    <w:p>
      <w:pPr>
        <w:spacing w:after="60"/>
        <w:jc w:val="center"/>
      </w:pPr>
      <w:r>
        <w:rPr>
          <w:rFonts w:ascii="Arial" w:hAnsi="Arial"/>
          <w:b/>
          <w:sz w:val="26"/>
        </w:rPr>
        <w:t>Tertiary Infotech Academy Pte. Ltd.</w:t>
      </w:r>
    </w:p>
    <w:p>
      <w:pPr>
        <w:spacing w:after="360"/>
        <w:jc w:val="center"/>
      </w:pPr>
      <w:r>
        <w:rPr>
          <w:rFonts w:ascii="Arial" w:hAnsi="Arial"/>
          <w:b w:val="0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Version 11.0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D"/>
          </w:tcPr>
          <w:p>
            <w:r>
              <w:t>Version Number</w:t>
            </w:r>
          </w:p>
        </w:tc>
        <w:tc>
          <w:tcPr>
            <w:tcW w:type="dxa" w:w="2541"/>
            <w:shd w:fill="D9EAFD"/>
          </w:tcPr>
          <w:p>
            <w:r>
              <w:t>Effective Date of Release</w:t>
            </w:r>
          </w:p>
        </w:tc>
        <w:tc>
          <w:tcPr>
            <w:tcW w:type="dxa" w:w="2541"/>
            <w:shd w:fill="D9EAFD"/>
          </w:tcPr>
          <w:p>
            <w:r>
              <w:t>Summary of Included Changes</w:t>
            </w:r>
          </w:p>
        </w:tc>
        <w:tc>
          <w:tcPr>
            <w:tcW w:type="dxa" w:w="2541"/>
            <w:shd w:fill="D9EAFD"/>
          </w:tcPr>
          <w:p>
            <w:r>
              <w:t>Author</w:t>
            </w:r>
          </w:p>
        </w:tc>
      </w:tr>
      <w:tr>
        <w:tc>
          <w:tcPr>
            <w:tcW w:type="dxa" w:w="2541"/>
          </w:tcPr>
          <w:p>
            <w:r>
              <w:t>10.0</w:t>
            </w:r>
          </w:p>
        </w:tc>
        <w:tc>
          <w:tcPr>
            <w:tcW w:type="dxa" w:w="2541"/>
          </w:tcPr>
          <w:p>
            <w:r>
              <w:t>Date not recorded in legacy source</w:t>
            </w:r>
          </w:p>
        </w:tc>
        <w:tc>
          <w:tcPr>
            <w:tcW w:type="dxa" w:w="2541"/>
          </w:tcPr>
          <w:p>
            <w:r>
              <w:t>Legacy trainer-slide release; superseded by this source-aligned rebuild.</w:t>
            </w:r>
          </w:p>
        </w:tc>
        <w:tc>
          <w:tcPr>
            <w:tcW w:type="dxa" w:w="2541"/>
          </w:tcPr>
          <w:p>
            <w:r>
              <w:t>Tertiary Infotech Academy</w:t>
            </w:r>
          </w:p>
        </w:tc>
      </w:tr>
      <w:tr>
        <w:tc>
          <w:tcPr>
            <w:tcW w:type="dxa" w:w="2541"/>
          </w:tcPr>
          <w:p>
            <w:r>
              <w:t>11.0</w:t>
            </w:r>
          </w:p>
        </w:tc>
        <w:tc>
          <w:tcPr>
            <w:tcW w:type="dxa" w:w="2541"/>
          </w:tcPr>
          <w:p>
            <w:r>
              <w:t>20 August 2026</w:t>
            </w:r>
          </w:p>
        </w:tc>
        <w:tc>
          <w:tcPr>
            <w:tcW w:type="dxa" w:w="2541"/>
          </w:tcPr>
          <w:p>
            <w:r>
              <w:t>Rebuilt for Blender 5.2 LTS with four verified outcomes, eight connected labs, live assessment parity and updated visuals.</w:t>
            </w:r>
          </w:p>
        </w:tc>
        <w:tc>
          <w:tcPr>
            <w:tcW w:type="dxa" w:w="2541"/>
          </w:tcPr>
          <w:p>
            <w:r>
              <w:t>Tertiary Infotech Academy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Course Overview and Learning Outcomes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4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Daily Schedule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5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Topic-by-Topic Breakdown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6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Resources Required and Assessment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7</w:t>
            </w:r>
          </w:p>
        </w:tc>
      </w:tr>
    </w:tbl>
    <w:p>
      <w:r>
        <w:br w:type="page"/>
      </w:r>
    </w:p>
    <w:p>
      <w:pPr>
        <w:pStyle w:val="Heading1"/>
      </w:pPr>
      <w:r>
        <w:t>Course Overview</w:t>
      </w:r>
    </w:p>
    <w:p>
      <w:r>
        <w:t>A two-day, 16-hour WSQ programme in which beginners interpret a creative brief, build and animate a Blender prototype, then optimise, render and export a verified 3D asset.</w:t>
      </w:r>
    </w:p>
    <w:p>
      <w:pPr>
        <w:pStyle w:val="Heading1"/>
      </w:pPr>
      <w:r>
        <w:t>Learning Outcomes</w:t>
      </w:r>
    </w:p>
    <w:p>
      <w:pPr>
        <w:pStyle w:val="ListBullet"/>
        <w:keepNext w:val="0"/>
        <w:keepLines/>
        <w:spacing w:after="20"/>
      </w:pPr>
      <w:r>
        <w:t>LO1: Analyse a creative brief and establish a suitable polygon budget.</w:t>
      </w:r>
    </w:p>
    <w:p>
      <w:pPr>
        <w:pStyle w:val="ListBullet"/>
        <w:keepNext w:val="0"/>
        <w:keepLines/>
        <w:spacing w:after="20"/>
      </w:pPr>
      <w:r>
        <w:t>LO2: Develop 3D models and prototypes in Blender.</w:t>
      </w:r>
    </w:p>
    <w:p>
      <w:pPr>
        <w:pStyle w:val="ListBullet"/>
        <w:keepNext w:val="0"/>
        <w:keepLines/>
        <w:spacing w:after="20"/>
      </w:pPr>
      <w:r>
        <w:t>LO3: Animate 3D models using suitable rigging, keyframe and presentation methods.</w:t>
      </w:r>
    </w:p>
    <w:p>
      <w:pPr>
        <w:pStyle w:val="ListBullet"/>
        <w:keepNext w:val="0"/>
        <w:keepLines/>
        <w:spacing w:after="20"/>
      </w:pPr>
      <w:r>
        <w:t>LO4: Optimise, light, render and export 3D models for the intended use.</w:t>
      </w:r>
    </w:p>
    <w:p>
      <w:pPr>
        <w:sectPr>
          <w:footerReference w:type="default" r:id="rId9"/>
          <w:pgSz w:w="12240" w:h="15840"/>
          <w:pgMar w:top="979" w:right="1037" w:bottom="979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Daily Schedule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720"/>
            <w:shd w:fill="D9EAFD"/>
          </w:tcPr>
          <w:p>
            <w:r>
              <w:rPr>
                <w:b/>
                <w:sz w:val="17"/>
              </w:rPr>
              <w:t>Day</w:t>
            </w:r>
          </w:p>
        </w:tc>
        <w:tc>
          <w:tcPr>
            <w:tcW w:type="dxa" w:w="1656"/>
            <w:shd w:fill="D9EAFD"/>
          </w:tcPr>
          <w:p>
            <w:r>
              <w:rPr>
                <w:b/>
                <w:sz w:val="17"/>
              </w:rPr>
              <w:t>Time</w:t>
            </w:r>
          </w:p>
        </w:tc>
        <w:tc>
          <w:tcPr>
            <w:tcW w:type="dxa" w:w="1123"/>
            <w:shd w:fill="D9EAFD"/>
          </w:tcPr>
          <w:p>
            <w:r>
              <w:rPr>
                <w:b/>
                <w:sz w:val="17"/>
              </w:rPr>
              <w:t>Duration</w:t>
            </w:r>
          </w:p>
        </w:tc>
        <w:tc>
          <w:tcPr>
            <w:tcW w:type="dxa" w:w="4968"/>
            <w:shd w:fill="D9EAFD"/>
          </w:tcPr>
          <w:p>
            <w:r>
              <w:rPr>
                <w:b/>
                <w:sz w:val="17"/>
              </w:rPr>
              <w:t>Topic / Lab</w:t>
            </w:r>
          </w:p>
        </w:tc>
        <w:tc>
          <w:tcPr>
            <w:tcW w:type="dxa" w:w="3096"/>
            <w:shd w:fill="D9EAFD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1800"/>
            <w:shd w:fill="D9EAFD"/>
          </w:tcPr>
          <w:p>
            <w:r>
              <w:rPr>
                <w:b/>
                <w:sz w:val="17"/>
              </w:rPr>
              <w:t>Slides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09:00–10:00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Course administration and Topic 1 introduction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Briefing, demonstration and discussion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2–20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10:00–12:00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1: Get Started with Blender and the Creative Brief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Concept workshop and Lab 1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21–40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12:00–13:00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Lunch break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Break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13:00–15:00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1 application and Topic 2 introduction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Lab 2 and guided modelling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41–47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15:00–18:00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3h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2: Develop 3D Models and Prototypes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Demonstration, Labs 3–4 and review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48–73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09:00–10:30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 30m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3: Animate and Present the 3D Prototype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Concept demonstration and coached practice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74–91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10:30–12:30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3 application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Labs 5–6 and peer review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92–99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12:30–13:30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Lunch break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Break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13:30–15:00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 30m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4: Optimise, Render and Export the Model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Concept demonstration and Lab 7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101–122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15:00–15:30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0h 30m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Capstone release and assessment briefing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Lab 8 completion and briefing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123–132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15:30–16:30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Written Assessment (SAQ)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Individual, open book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133–135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16:30–18:00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 30m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Practical Performance (PP)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Individual, open book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133–135</w:t>
            </w:r>
          </w:p>
        </w:tc>
      </w:tr>
    </w:tbl>
    <w:p>
      <w:pPr>
        <w:sectPr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Topic-by-Topic Breakdown</w:t>
      </w:r>
    </w:p>
    <w:p>
      <w:pPr>
        <w:pStyle w:val="Heading2"/>
      </w:pPr>
      <w:r>
        <w:t>Topic 1: Get Started with Blender and the Creative Brief · Slides 19–45</w:t>
      </w:r>
    </w:p>
    <w:p>
      <w:r>
        <w:t>Analyse requirements · establish budgets · control the scene</w:t>
      </w:r>
    </w:p>
    <w:p>
      <w:r>
        <w:t>Alignment: LO1 · K1–K2 · A1–A2</w:t>
      </w:r>
    </w:p>
    <w:p>
      <w:pPr>
        <w:pStyle w:val="Heading3"/>
      </w:pPr>
      <w:r>
        <w:t>Lab 1: Navigate Blender and organise a production scene · Slides 37–40</w:t>
      </w:r>
    </w:p>
    <w:p>
      <w:r>
        <w:t>Navigate the interface, distinguish Object and Edit modes, organise objects and preserve a clean baseline.</w:t>
      </w:r>
    </w:p>
    <w:p>
      <w:pPr>
        <w:pStyle w:val="Heading3"/>
      </w:pPr>
      <w:r>
        <w:t>Lab 2: Interpret a fish brief, budget polygons and build a blockout · Slides 41–44</w:t>
      </w:r>
    </w:p>
    <w:p>
      <w:r>
        <w:t>Translate the brief into criteria, allocate a polygon budget and create a modifier-led blockout.</w:t>
      </w:r>
    </w:p>
    <w:p>
      <w:pPr>
        <w:pStyle w:val="Heading2"/>
      </w:pPr>
      <w:r>
        <w:t>Topic 2: Develop 3D Models and Prototypes · Slides 46–73</w:t>
      </w:r>
    </w:p>
    <w:p>
      <w:r>
        <w:t>Block out form · sculpt detail · refine topology</w:t>
      </w:r>
    </w:p>
    <w:p>
      <w:r>
        <w:t>Alignment: LO2 · K3–K4, K7 · A3–A4</w:t>
      </w:r>
    </w:p>
    <w:p>
      <w:pPr>
        <w:pStyle w:val="Heading3"/>
      </w:pPr>
      <w:r>
        <w:t>Lab 3: Model and sculpt the production goldfish · Slides 65–68</w:t>
      </w:r>
    </w:p>
    <w:p>
      <w:r>
        <w:t>Develop primary and secondary forms with suitable Edit Mode and sculpting tools.</w:t>
      </w:r>
    </w:p>
    <w:p>
      <w:pPr>
        <w:pStyle w:val="Heading3"/>
      </w:pPr>
      <w:r>
        <w:t>Lab 4: Repair topology, normals and deformation zones · Slides 69–72</w:t>
      </w:r>
    </w:p>
    <w:p>
      <w:r>
        <w:t>Diagnose and repair the supplied mesh, then prove the revised prototype meets its criteria.</w:t>
      </w:r>
    </w:p>
    <w:p>
      <w:pPr>
        <w:pStyle w:val="Heading2"/>
      </w:pPr>
      <w:r>
        <w:t>Topic 3: Animate and Present the 3D Prototype · Slides 74–100</w:t>
      </w:r>
    </w:p>
    <w:p>
      <w:r>
        <w:t>Rig movement · keyframe action · surface and present</w:t>
      </w:r>
    </w:p>
    <w:p>
      <w:r>
        <w:t>Alignment: LO3 · K5–K8 · A5–A6</w:t>
      </w:r>
    </w:p>
    <w:p>
      <w:pPr>
        <w:pStyle w:val="Heading3"/>
      </w:pPr>
      <w:r>
        <w:t>Lab 5: UV unwrap and surface the goldfish · Slides 92–95</w:t>
      </w:r>
    </w:p>
    <w:p>
      <w:r>
        <w:t>Create controlled UVs, textures and a Principled BSDF material that remains readable under neutral light.</w:t>
      </w:r>
    </w:p>
    <w:p>
      <w:pPr>
        <w:pStyle w:val="Heading3"/>
      </w:pPr>
      <w:r>
        <w:t>Lab 6: Rig and animate a looping swim cycle · Slides 96–99</w:t>
      </w:r>
    </w:p>
    <w:p>
      <w:r>
        <w:t>Build a simple armature, validate deformation and animate a clean loop using controlled curves.</w:t>
      </w:r>
    </w:p>
    <w:p>
      <w:pPr>
        <w:pStyle w:val="Heading2"/>
      </w:pPr>
      <w:r>
        <w:t>Topic 4: Optimise, Render and Export the Model · Slides 101–127</w:t>
      </w:r>
    </w:p>
    <w:p>
      <w:r>
        <w:t>Frame the asset · validate quality · deliver reliably</w:t>
      </w:r>
    </w:p>
    <w:p>
      <w:r>
        <w:t>Alignment: LO4 · K8–K9 · A7–A8</w:t>
      </w:r>
    </w:p>
    <w:p>
      <w:pPr>
        <w:pStyle w:val="Heading3"/>
      </w:pPr>
      <w:r>
        <w:t>Lab 7: Create bubbles, light the scene and present for review · Slides 119–122</w:t>
      </w:r>
    </w:p>
    <w:p>
      <w:r>
        <w:t>Add a lightweight bubble/force effect, build purposeful lighting and present a review decision.</w:t>
      </w:r>
    </w:p>
    <w:p>
      <w:pPr>
        <w:pStyle w:val="Heading3"/>
      </w:pPr>
      <w:r>
        <w:t>Lab 8: Optimise, render and export the fish-bowl capstone · Slides 123–126</w:t>
      </w:r>
    </w:p>
    <w:p>
      <w:r>
        <w:t>Optimise the full scene, render final evidence, export the intended asset and validate the package by round trip.</w:t>
      </w:r>
    </w:p>
    <w:p>
      <w:pPr>
        <w:pStyle w:val="Heading1"/>
      </w:pPr>
      <w:r>
        <w:t>Resources Required</w:t>
      </w:r>
    </w:p>
    <w:p>
      <w:pPr>
        <w:pStyle w:val="ListBullet"/>
        <w:keepNext w:val="0"/>
        <w:keepLines/>
        <w:spacing w:after="20"/>
      </w:pPr>
      <w:r>
        <w:t>Blender 5.2 LTS installed on Windows or macOS laptop</w:t>
      </w:r>
    </w:p>
    <w:p>
      <w:pPr>
        <w:pStyle w:val="ListBullet"/>
        <w:keepNext w:val="0"/>
        <w:keepLines/>
        <w:spacing w:after="20"/>
      </w:pPr>
      <w:r>
        <w:t>Course lab folders and supplied Blender sample assets</w:t>
      </w:r>
    </w:p>
    <w:p>
      <w:pPr>
        <w:pStyle w:val="ListBullet"/>
        <w:keepNext w:val="0"/>
        <w:keepLines/>
        <w:spacing w:after="20"/>
      </w:pPr>
      <w:r>
        <w:t>Presentation software for lab evidence</w:t>
      </w:r>
    </w:p>
    <w:p>
      <w:pPr>
        <w:pStyle w:val="ListBullet"/>
        <w:keepNext w:val="0"/>
        <w:keepLines/>
        <w:spacing w:after="20"/>
      </w:pPr>
      <w:r>
        <w:t>Internet access for official Blender references and LMS submission</w:t>
      </w:r>
    </w:p>
    <w:p>
      <w:pPr>
        <w:pStyle w:val="Heading1"/>
      </w:pPr>
      <w:r>
        <w:t>Assessment</w:t>
      </w:r>
    </w:p>
    <w:p>
      <w:r>
        <w:t>Written Assessment (SAQ): 9 open-ended questions covering K1–K9; 60 minutes; individual and open book.</w:t>
      </w:r>
    </w:p>
    <w:p>
      <w:r>
        <w:t>Practical Performance (PP): 4 integrated Blender tasks covering A1–A8; 90 minutes; individual and open book.</w:t>
      </w:r>
    </w:p>
    <w:p>
      <w:r>
        <w:t>Total live-paper assessment duration: 150 minutes. Candidate papers are public courseware; answer keys remain trainer-only.</w:t>
      </w:r>
    </w:p>
    <w:p>
      <w:r>
        <w:t>Assessment is individual and open book. Learners complete assessment digital attendance, submit on the LMS and sign the Assessment Summary Record.</w:t>
      </w:r>
    </w:p>
    <w:sectPr w:rsidR="00FC693F" w:rsidRPr="0006063C" w:rsidSect="00034616"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Tertiary Infotech Academy Pte. Ltd. · TGS-2022015368 ·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9B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04CD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