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48"/>
          <w:szCs w:val="48"/>
        </w:rPr>
        <w:t xml:space="preserve">OECD NEA Coding Competition</w:t>
      </w:r>
    </w:p>
    <w:p>
      <w:pPr>
        <w:spacing w:before="0" w:after="80"/>
      </w:pPr>
      <w:r>
        <w:rPr>
          <w:rFonts w:ascii="Arial" w:cs="Arial" w:eastAsia="Arial" w:hAnsi="Arial"/>
          <w:color w:val="2E75B6"/>
          <w:sz w:val="28"/>
          <w:szCs w:val="28"/>
        </w:rPr>
        <w:t xml:space="preserve">Risk Register Normalizer — Team Submission</w:t>
      </w:r>
    </w:p>
    <w:p>
      <w:pPr>
        <w:pBdr>
          <w:bottom w:val="single" w:color="2E75B6" w:sz="12" w:space="8"/>
        </w:pBdr>
        <w:spacing w:before="0" w:after="400"/>
      </w:pPr>
      <w:r>
        <w:rPr>
          <w:rFonts w:ascii="Arial" w:cs="Arial" w:eastAsia="Arial" w:hAnsi="Arial"/>
          <w:color w:val="888888"/>
          <w:sz w:val="20"/>
          <w:szCs w:val="20"/>
        </w:rPr>
        <w:t xml:space="preserve">March 2026  |  OECD Nuclear Energy Agency</w:t>
      </w:r>
    </w:p>
    <w:p>
      <w:pPr>
        <w:spacing w:before="80" w:after="8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Overview</w:t>
      </w:r>
    </w:p>
    <w:p>
      <w:pPr>
        <w:spacing w:before="40" w:after="40"/>
      </w:pPr>
      <w:r>
        <w:rPr>
          <w:rFonts w:ascii="Arial" w:cs="Arial" w:eastAsia="Arial" w:hAnsi="Arial"/>
          <w:color w:val="333333"/>
          <w:sz w:val="20"/>
          <w:szCs w:val="20"/>
        </w:rPr>
        <w:t xml:space="preserve">This project was built for the OECD Nuclear Energy Agency (NEA) Coding Competition. The objective was to build an automated pipeline that reads diverse, inconsistently formatted risk registers in Excel and PDF formats and converts them into standardised, machine-readable Excel files using Python and NLP techniques.</w:t>
      </w:r>
    </w:p>
    <w:p>
      <w:pPr>
        <w:spacing w:before="80" w:after="8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Competition Brief</w:t>
      </w:r>
    </w:p>
    <w:p>
      <w:pPr>
        <w:spacing w:before="40" w:after="40"/>
      </w:pPr>
      <w:r>
        <w:rPr>
          <w:rFonts w:ascii="Arial" w:cs="Arial" w:eastAsia="Arial" w:hAnsi="Arial"/>
          <w:color w:val="333333"/>
          <w:sz w:val="20"/>
          <w:szCs w:val="20"/>
        </w:rPr>
        <w:t xml:space="preserve">Teams were provided with five raw input risk registers and three corrected output risk registers. The task was to build an algorithm that ingests the inputs and produces standardised outputs matching the corrected register format. Files 4 and 5 served as blind tests and form the final submission.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Automated comparison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Field-level accuracy against correct outputs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Human expert review</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40%</w:t>
            </w:r>
          </w:p>
        </w:tc>
        <w:tc>
          <w:tcPr>
            <w:tcW w:type="dxa" w:w="4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Logical coherence and completeness of extracted data</w:t>
            </w:r>
          </w:p>
        </w:tc>
      </w:tr>
    </w:tbl>
    <w:p>
      <w:pPr>
        <w:spacing w:before="80" w:after="8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Submission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 Moorgate Crossrail Register (Final).xlsx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Blind test output — Moorgate Crossrail project</w:t>
            </w:r>
          </w:p>
        </w:tc>
      </w:tr>
      <w:tr>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5. Corporate Risk Register (Final).xlsx</w:t>
            </w:r>
          </w:p>
        </w:tc>
        <w:tc>
          <w:tcPr>
            <w:tcW w:type="dxa" w:w="4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Blind test output — Corporate PDF register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code/model.py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Self-contained Python pipeline script</w:t>
            </w:r>
          </w:p>
        </w:tc>
      </w:tr>
    </w:tbl>
    <w:p>
      <w:pPr>
        <w:spacing w:before="80" w:after="8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How It Works</w:t>
      </w:r>
    </w:p>
    <w:p>
      <w:pPr>
        <w:spacing w:before="40" w:after="40"/>
      </w:pPr>
      <w:r>
        <w:rPr>
          <w:rFonts w:ascii="Arial" w:cs="Arial" w:eastAsia="Arial" w:hAnsi="Arial"/>
          <w:color w:val="333333"/>
          <w:sz w:val="20"/>
          <w:szCs w:val="20"/>
        </w:rPr>
        <w:t xml:space="preserve">The pipeline runs in 9 sequential Jupyter notebook cells, each responsible for a distinct stage of the process.</w:t>
      </w:r>
    </w:p>
    <w:p>
      <w:pPr>
        <w:spacing w:before="80" w:after="80"/>
      </w:pPr>
      <w:r>
        <w:t xml:space="preserve"/>
      </w:r>
    </w:p>
    <w:p>
      <w:pPr>
        <w:spacing w:before="200" w:after="80"/>
      </w:pPr>
      <w:r>
        <w:rPr>
          <w:rFonts w:ascii="Arial" w:cs="Arial" w:eastAsia="Arial" w:hAnsi="Arial"/>
          <w:b/>
          <w:bCs/>
          <w:color w:val="444444"/>
          <w:sz w:val="22"/>
          <w:szCs w:val="22"/>
        </w:rPr>
        <w:t xml:space="preserve">Cell 1 — Setup</w:t>
      </w:r>
    </w:p>
    <w:p>
      <w:pPr>
        <w:spacing w:before="40" w:after="40"/>
      </w:pPr>
      <w:r>
        <w:rPr>
          <w:rFonts w:ascii="Arial" w:cs="Arial" w:eastAsia="Arial" w:hAnsi="Arial"/>
          <w:color w:val="333333"/>
          <w:sz w:val="20"/>
          <w:szCs w:val="20"/>
        </w:rPr>
        <w:t xml:space="preserve">Installs and imports all required libraries: openpyxl, pandas, pdfplumber, python-docx.</w:t>
      </w:r>
    </w:p>
    <w:p>
      <w:pPr>
        <w:spacing w:before="200" w:after="80"/>
      </w:pPr>
      <w:r>
        <w:rPr>
          <w:rFonts w:ascii="Arial" w:cs="Arial" w:eastAsia="Arial" w:hAnsi="Arial"/>
          <w:b/>
          <w:bCs/>
          <w:color w:val="444444"/>
          <w:sz w:val="22"/>
          <w:szCs w:val="22"/>
        </w:rPr>
        <w:t xml:space="preserve">Cell 2 — File Upload</w:t>
      </w:r>
    </w:p>
    <w:p>
      <w:pPr>
        <w:spacing w:before="40" w:after="40"/>
      </w:pPr>
      <w:r>
        <w:rPr>
          <w:rFonts w:ascii="Arial" w:cs="Arial" w:eastAsia="Arial" w:hAnsi="Arial"/>
          <w:color w:val="333333"/>
          <w:sz w:val="20"/>
          <w:szCs w:val="20"/>
        </w:rPr>
        <w:t xml:space="preserve">Creates input/ and output/ directories, copies the 5 input files from the local source folder, and verifies all files are present before proceeding.</w:t>
      </w:r>
    </w:p>
    <w:p>
      <w:pPr>
        <w:spacing w:before="200" w:after="80"/>
      </w:pPr>
      <w:r>
        <w:rPr>
          <w:rFonts w:ascii="Arial" w:cs="Arial" w:eastAsia="Arial" w:hAnsi="Arial"/>
          <w:b/>
          <w:bCs/>
          <w:color w:val="444444"/>
          <w:sz w:val="22"/>
          <w:szCs w:val="22"/>
        </w:rPr>
        <w:t xml:space="preserve">Cell 3 — Inspect Outputs</w:t>
      </w:r>
    </w:p>
    <w:p>
      <w:pPr>
        <w:spacing w:before="40" w:after="40"/>
      </w:pPr>
      <w:r>
        <w:rPr>
          <w:rFonts w:ascii="Arial" w:cs="Arial" w:eastAsia="Arial" w:hAnsi="Arial"/>
          <w:color w:val="333333"/>
          <w:sz w:val="20"/>
          <w:szCs w:val="20"/>
        </w:rPr>
        <w:t xml:space="preserve">Reads the 3 corrected output files to establish the gold-standard schema — column headers, sheet structure, and mandatory fields.</w:t>
      </w:r>
    </w:p>
    <w:p>
      <w:pPr>
        <w:spacing w:before="200" w:after="80"/>
      </w:pPr>
      <w:r>
        <w:rPr>
          <w:rFonts w:ascii="Arial" w:cs="Arial" w:eastAsia="Arial" w:hAnsi="Arial"/>
          <w:b/>
          <w:bCs/>
          <w:color w:val="444444"/>
          <w:sz w:val="22"/>
          <w:szCs w:val="22"/>
        </w:rPr>
        <w:t xml:space="preserve">Cell 4 — File Parsers</w:t>
      </w:r>
    </w:p>
    <w:p>
      <w:pPr>
        <w:spacing w:before="40" w:after="40"/>
      </w:pPr>
      <w:r>
        <w:rPr>
          <w:rFonts w:ascii="Arial" w:cs="Arial" w:eastAsia="Arial" w:hAnsi="Arial"/>
          <w:color w:val="333333"/>
          <w:sz w:val="20"/>
          <w:szCs w:val="20"/>
        </w:rPr>
        <w:t xml:space="preserve">Three parser functions extract raw structured content from each supported file type:</w:t>
      </w:r>
    </w:p>
    <w:p>
      <w:pPr>
        <w:pStyle w:val="ListParagraph"/>
        <w:numPr>
          <w:ilvl w:val="0"/>
          <w:numId w:val="2"/>
        </w:numPr>
        <w:spacing w:before="40" w:after="40"/>
      </w:pPr>
      <w:r>
        <w:rPr>
          <w:rFonts w:ascii="Arial" w:cs="Arial" w:eastAsia="Arial" w:hAnsi="Arial"/>
          <w:color w:val="333333"/>
          <w:sz w:val="20"/>
          <w:szCs w:val="20"/>
        </w:rPr>
        <w:t xml:space="preserve">parse_xlsx() — reads all sheets row by row via openpyxl</w:t>
      </w:r>
    </w:p>
    <w:p>
      <w:pPr>
        <w:pStyle w:val="ListParagraph"/>
        <w:numPr>
          <w:ilvl w:val="0"/>
          <w:numId w:val="2"/>
        </w:numPr>
        <w:spacing w:before="40" w:after="40"/>
      </w:pPr>
      <w:r>
        <w:rPr>
          <w:rFonts w:ascii="Arial" w:cs="Arial" w:eastAsia="Arial" w:hAnsi="Arial"/>
          <w:color w:val="333333"/>
          <w:sz w:val="20"/>
          <w:szCs w:val="20"/>
        </w:rPr>
        <w:t xml:space="preserve">parse_pdf() — extracts tables and text per page via pdfplumber</w:t>
      </w:r>
    </w:p>
    <w:p>
      <w:pPr>
        <w:pStyle w:val="ListParagraph"/>
        <w:numPr>
          <w:ilvl w:val="0"/>
          <w:numId w:val="2"/>
        </w:numPr>
        <w:spacing w:before="40" w:after="40"/>
      </w:pPr>
      <w:r>
        <w:rPr>
          <w:rFonts w:ascii="Arial" w:cs="Arial" w:eastAsia="Arial" w:hAnsi="Arial"/>
          <w:color w:val="333333"/>
          <w:sz w:val="20"/>
          <w:szCs w:val="20"/>
        </w:rPr>
        <w:t xml:space="preserve">parse_docx() — extracts paragraphs and tables via python-docx</w:t>
      </w:r>
    </w:p>
    <w:p>
      <w:pPr>
        <w:spacing w:before="200" w:after="80"/>
      </w:pPr>
      <w:r>
        <w:rPr>
          <w:rFonts w:ascii="Arial" w:cs="Arial" w:eastAsia="Arial" w:hAnsi="Arial"/>
          <w:b/>
          <w:bCs/>
          <w:color w:val="444444"/>
          <w:sz w:val="22"/>
          <w:szCs w:val="22"/>
        </w:rPr>
        <w:t xml:space="preserve">Cell 5 — Normalisation Utilities</w:t>
      </w:r>
    </w:p>
    <w:p>
      <w:pPr>
        <w:spacing w:before="40" w:after="40"/>
      </w:pPr>
      <w:r>
        <w:rPr>
          <w:rFonts w:ascii="Arial" w:cs="Arial" w:eastAsia="Arial" w:hAnsi="Arial"/>
          <w:color w:val="333333"/>
          <w:sz w:val="20"/>
          <w:szCs w:val="20"/>
        </w:rPr>
        <w:t xml:space="preserve">Pure-logic helper functions with no external dependencies:</w:t>
      </w:r>
    </w:p>
    <w:p>
      <w:pPr>
        <w:pStyle w:val="ListParagraph"/>
        <w:numPr>
          <w:ilvl w:val="0"/>
          <w:numId w:val="2"/>
        </w:numPr>
        <w:spacing w:before="40" w:after="40"/>
      </w:pPr>
      <w:r>
        <w:rPr>
          <w:rFonts w:ascii="Arial" w:cs="Arial" w:eastAsia="Arial" w:hAnsi="Arial"/>
          <w:color w:val="333333"/>
          <w:sz w:val="20"/>
          <w:szCs w:val="20"/>
        </w:rPr>
        <w:t xml:space="preserve">to_num() — converts qualitative labels (e.g. Possible, Minor) and numeric strings to float 1–10</w:t>
      </w:r>
    </w:p>
    <w:p>
      <w:pPr>
        <w:pStyle w:val="ListParagraph"/>
        <w:numPr>
          <w:ilvl w:val="0"/>
          <w:numId w:val="2"/>
        </w:numPr>
        <w:spacing w:before="40" w:after="40"/>
      </w:pPr>
      <w:r>
        <w:rPr>
          <w:rFonts w:ascii="Arial" w:cs="Arial" w:eastAsia="Arial" w:hAnsi="Arial"/>
          <w:color w:val="333333"/>
          <w:sz w:val="20"/>
          <w:szCs w:val="20"/>
        </w:rPr>
        <w:t xml:space="preserve">to_pri() — derives Low, Med, or High from a label or likelihood × impact score</w:t>
      </w:r>
    </w:p>
    <w:p>
      <w:pPr>
        <w:pStyle w:val="ListParagraph"/>
        <w:numPr>
          <w:ilvl w:val="0"/>
          <w:numId w:val="2"/>
        </w:numPr>
        <w:spacing w:before="40" w:after="40"/>
      </w:pPr>
      <w:r>
        <w:rPr>
          <w:rFonts w:ascii="Arial" w:cs="Arial" w:eastAsia="Arial" w:hAnsi="Arial"/>
          <w:color w:val="333333"/>
          <w:sz w:val="20"/>
          <w:szCs w:val="20"/>
        </w:rPr>
        <w:t xml:space="preserve">to_date() — parses multiple date formats to a standard datetime.date object</w:t>
      </w:r>
    </w:p>
    <w:p>
      <w:pPr>
        <w:pStyle w:val="ListParagraph"/>
        <w:numPr>
          <w:ilvl w:val="0"/>
          <w:numId w:val="2"/>
        </w:numPr>
        <w:spacing w:before="40" w:after="40"/>
      </w:pPr>
      <w:r>
        <w:rPr>
          <w:rFonts w:ascii="Arial" w:cs="Arial" w:eastAsia="Arial" w:hAnsi="Arial"/>
          <w:color w:val="333333"/>
          <w:sz w:val="20"/>
          <w:szCs w:val="20"/>
        </w:rPr>
        <w:t xml:space="preserve">derive_output_name() — maps input filenames to the correct output filename convention</w:t>
      </w:r>
    </w:p>
    <w:p>
      <w:pPr>
        <w:spacing w:before="200" w:after="80"/>
      </w:pPr>
      <w:r>
        <w:rPr>
          <w:rFonts w:ascii="Arial" w:cs="Arial" w:eastAsia="Arial" w:hAnsi="Arial"/>
          <w:b/>
          <w:bCs/>
          <w:color w:val="444444"/>
          <w:sz w:val="22"/>
          <w:szCs w:val="22"/>
        </w:rPr>
        <w:t xml:space="preserve">Cell 6 — Extraction</w:t>
      </w:r>
    </w:p>
    <w:p>
      <w:pPr>
        <w:spacing w:before="40" w:after="40"/>
      </w:pPr>
      <w:r>
        <w:rPr>
          <w:rFonts w:ascii="Arial" w:cs="Arial" w:eastAsia="Arial" w:hAnsi="Arial"/>
          <w:color w:val="333333"/>
          <w:sz w:val="20"/>
          <w:szCs w:val="20"/>
        </w:rPr>
        <w:t xml:space="preserve">File-specific extraction logic handles each of the 5 inputs independently: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Challenge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IVC DOE R2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.xlsx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Multi-row merged headers, pre and post mitigation columns, 5-point severity scale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2. City of York Council</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.xlsx</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Column order differs from output schema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 Digital Security 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.xlsx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Missing project stage and category — inferred from description text</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4. Moorgate Crossrail</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.xlsx</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Qualitative likelihood/impact labels converted to numeric 1–10 scale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Corporate Risk Register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.pdf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Rotated column headers across 21 pages, multi-column table layout</w:t>
            </w:r>
          </w:p>
        </w:tc>
      </w:tr>
    </w:tbl>
    <w:p>
      <w:pPr>
        <w:spacing w:before="80" w:after="80"/>
      </w:pPr>
      <w:r>
        <w:t xml:space="preserve"/>
      </w:r>
    </w:p>
    <w:p>
      <w:pPr>
        <w:spacing w:before="200" w:after="80"/>
      </w:pPr>
      <w:r>
        <w:rPr>
          <w:rFonts w:ascii="Arial" w:cs="Arial" w:eastAsia="Arial" w:hAnsi="Arial"/>
          <w:b/>
          <w:bCs/>
          <w:color w:val="444444"/>
          <w:sz w:val="22"/>
          <w:szCs w:val="22"/>
        </w:rPr>
        <w:t xml:space="preserve">Cell 7 — Validation</w:t>
      </w:r>
    </w:p>
    <w:p>
      <w:pPr>
        <w:spacing w:before="40" w:after="40"/>
      </w:pPr>
      <w:r>
        <w:rPr>
          <w:rFonts w:ascii="Arial" w:cs="Arial" w:eastAsia="Arial" w:hAnsi="Arial"/>
          <w:color w:val="333333"/>
          <w:sz w:val="20"/>
          <w:szCs w:val="20"/>
        </w:rPr>
        <w:t xml:space="preserve">Compares extracted data for files 1–3 against the known correct outputs. Checks row count match and field coverage percentage for all mandatory columns.</w:t>
      </w:r>
    </w:p>
    <w:p>
      <w:pPr>
        <w:spacing w:before="200" w:after="80"/>
      </w:pPr>
      <w:r>
        <w:rPr>
          <w:rFonts w:ascii="Arial" w:cs="Arial" w:eastAsia="Arial" w:hAnsi="Arial"/>
          <w:b/>
          <w:bCs/>
          <w:color w:val="444444"/>
          <w:sz w:val="22"/>
          <w:szCs w:val="22"/>
        </w:rPr>
        <w:t xml:space="preserve">Cell 8 — Excel Writer</w:t>
      </w:r>
    </w:p>
    <w:p>
      <w:pPr>
        <w:spacing w:before="40" w:after="40"/>
      </w:pPr>
      <w:r>
        <w:rPr>
          <w:rFonts w:ascii="Arial" w:cs="Arial" w:eastAsia="Arial" w:hAnsi="Arial"/>
          <w:color w:val="333333"/>
          <w:sz w:val="20"/>
          <w:szCs w:val="20"/>
        </w:rPr>
        <w:t xml:space="preserve">Writes all 5 standardised output files. Each file contains:</w:t>
      </w:r>
    </w:p>
    <w:p>
      <w:pPr>
        <w:pStyle w:val="ListParagraph"/>
        <w:numPr>
          <w:ilvl w:val="0"/>
          <w:numId w:val="2"/>
        </w:numPr>
        <w:spacing w:before="40" w:after="40"/>
      </w:pPr>
      <w:r>
        <w:rPr>
          <w:rFonts w:ascii="Arial" w:cs="Arial" w:eastAsia="Arial" w:hAnsi="Arial"/>
          <w:color w:val="333333"/>
          <w:sz w:val="20"/>
          <w:szCs w:val="20"/>
        </w:rPr>
        <w:t xml:space="preserve">Simplified Register sheet — styled with dark blue headers, alternating row fills, frozen panes, and auto-sized columns</w:t>
      </w:r>
    </w:p>
    <w:p>
      <w:pPr>
        <w:pStyle w:val="ListParagraph"/>
        <w:numPr>
          <w:ilvl w:val="0"/>
          <w:numId w:val="2"/>
        </w:numPr>
        <w:spacing w:before="40" w:after="40"/>
      </w:pPr>
      <w:r>
        <w:rPr>
          <w:rFonts w:ascii="Arial" w:cs="Arial" w:eastAsia="Arial" w:hAnsi="Arial"/>
          <w:color w:val="333333"/>
          <w:sz w:val="20"/>
          <w:szCs w:val="20"/>
        </w:rPr>
        <w:t xml:space="preserve">Output Requirements sheet — mandatory column specification as provided in the competition brief</w:t>
      </w:r>
    </w:p>
    <w:p>
      <w:pPr>
        <w:pStyle w:val="ListParagraph"/>
        <w:numPr>
          <w:ilvl w:val="0"/>
          <w:numId w:val="2"/>
        </w:numPr>
        <w:spacing w:before="40" w:after="40"/>
      </w:pPr>
      <w:r>
        <w:rPr>
          <w:rFonts w:ascii="Arial" w:cs="Arial" w:eastAsia="Arial" w:hAnsi="Arial"/>
          <w:color w:val="333333"/>
          <w:sz w:val="20"/>
          <w:szCs w:val="20"/>
        </w:rPr>
        <w:t xml:space="preserve">Pre/post mitigation column variants for files that contain them (files 1 and 5)</w:t>
      </w:r>
    </w:p>
    <w:p>
      <w:pPr>
        <w:pStyle w:val="ListParagraph"/>
        <w:numPr>
          <w:ilvl w:val="0"/>
          <w:numId w:val="2"/>
        </w:numPr>
        <w:spacing w:before="40" w:after="40"/>
      </w:pPr>
      <w:r>
        <w:rPr>
          <w:rFonts w:ascii="Arial" w:cs="Arial" w:eastAsia="Arial" w:hAnsi="Arial"/>
          <w:color w:val="333333"/>
          <w:sz w:val="20"/>
          <w:szCs w:val="20"/>
        </w:rPr>
        <w:t xml:space="preserve">Result column added where source data contains outcome or progress notes</w:t>
      </w:r>
    </w:p>
    <w:p>
      <w:pPr>
        <w:spacing w:before="200" w:after="80"/>
      </w:pPr>
      <w:r>
        <w:rPr>
          <w:rFonts w:ascii="Arial" w:cs="Arial" w:eastAsia="Arial" w:hAnsi="Arial"/>
          <w:b/>
          <w:bCs/>
          <w:color w:val="444444"/>
          <w:sz w:val="22"/>
          <w:szCs w:val="22"/>
        </w:rPr>
        <w:t xml:space="preserve">Cell 9 — Quality Check</w:t>
      </w:r>
    </w:p>
    <w:p>
      <w:pPr>
        <w:spacing w:before="40" w:after="40"/>
      </w:pPr>
      <w:r>
        <w:rPr>
          <w:rFonts w:ascii="Arial" w:cs="Arial" w:eastAsia="Arial" w:hAnsi="Arial"/>
          <w:color w:val="333333"/>
          <w:sz w:val="20"/>
          <w:szCs w:val="20"/>
        </w:rPr>
        <w:t xml:space="preserve">Final validation pass across all 5 output files confirming both sheets exist, data rows are present, and all mandatory columns are populated.</w:t>
      </w:r>
    </w:p>
    <w:p>
      <w:pPr>
        <w:spacing w:before="80" w:after="8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Output Schema</w:t>
      </w:r>
    </w:p>
    <w:p>
      <w:pPr>
        <w:spacing w:before="40" w:after="40"/>
      </w:pPr>
      <w:r>
        <w:rPr>
          <w:rFonts w:ascii="Arial" w:cs="Arial" w:eastAsia="Arial" w:hAnsi="Arial"/>
          <w:color w:val="333333"/>
          <w:sz w:val="20"/>
          <w:szCs w:val="20"/>
        </w:rPr>
        <w:t xml:space="preserve">Every output file contains these mandatory columns: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Date Added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Where available in the source file</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Risk ID</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Assigned sequentially if not present in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Risk Description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text with newlines preserved</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Project Stage</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Pre-construction / Construction / Operations etc.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Project Category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Inferred from description where blank in source</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Risk Owner</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Person or team responsible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Likelihood (1-10)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Normalised to numeric scale</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Impact (1-10)</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Normalised to numeric scale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Risk Priority (low, med, high)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Computed from likelihood × impact score or mapped from label</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Mitigating Action</w:t>
            </w:r>
          </w:p>
        </w:tc>
        <w:tc>
          <w:tcPr>
            <w:tcW w:type="dxa" w:w="5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Full mitigation text</w:t>
            </w:r>
          </w:p>
        </w:tc>
      </w:tr>
    </w:tbl>
    <w:p>
      <w:pPr>
        <w:spacing w:before="80" w:after="80"/>
      </w:pPr>
      <w:r>
        <w:t xml:space="preserve"/>
      </w:r>
    </w:p>
    <w:p>
      <w:pPr>
        <w:spacing w:before="40" w:after="40"/>
      </w:pPr>
      <w:r>
        <w:rPr>
          <w:rFonts w:ascii="Arial" w:cs="Arial" w:eastAsia="Arial" w:hAnsi="Arial"/>
          <w:i/>
          <w:iCs/>
          <w:color w:val="333333"/>
          <w:sz w:val="20"/>
          <w:szCs w:val="20"/>
        </w:rPr>
        <w:t xml:space="preserve">Files 1 and 5 additionally include pre-mitigation and post-mitigation column variants for all three score fields.</w:t>
      </w:r>
    </w:p>
    <w:p>
      <w:pPr>
        <w:spacing w:before="80" w:after="8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Extracted Rows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Correct Rows</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IVC DOE 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MATCH</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2. City of York Council</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45</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45</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 MATCH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 Digital Security 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MATCH</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4. Moorgate Crossrail</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Blind 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Corporate Risk 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Blind test</w:t>
            </w:r>
          </w:p>
        </w:tc>
      </w:tr>
    </w:tbl>
    <w:p>
      <w:pPr>
        <w:spacing w:before="80" w:after="8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openpyxl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 and write Excel .xlsx files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pandas</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Dataframe operations and Excel preview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pdfplumber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Extract tables and text from PDF files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python-docx</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333333"/>
                <w:sz w:val="18"/>
                <w:szCs w:val="18"/>
              </w:rPr>
              <w:t xml:space="preserve">Parse Word .docx documents</w:t>
            </w:r>
          </w:p>
        </w:tc>
      </w:tr>
    </w:tbl>
    <w:p>
      <w:pPr>
        <w:spacing w:before="80" w:after="80"/>
      </w:pPr>
      <w:r>
        <w:t xml:space="preserve"/>
      </w:r>
    </w:p>
    <w:p>
      <w:pPr>
        <w:spacing w:before="40" w:after="40"/>
      </w:pPr>
      <w:r>
        <w:rPr>
          <w:rFonts w:ascii="Arial" w:cs="Arial" w:eastAsia="Arial" w:hAnsi="Arial"/>
          <w:color w:val="333333"/>
          <w:sz w:val="20"/>
          <w:szCs w:val="20"/>
        </w:rPr>
        <w:t xml:space="preserve">Install all dependencies with:</w:t>
      </w:r>
    </w:p>
    <w:p>
      <w:pPr>
        <w:shd w:fill="F5F5F5" w:val="clear"/>
        <w:spacing w:before="40" w:after="40"/>
        <w:ind w:left="720"/>
      </w:pPr>
      <w:r>
        <w:rPr>
          <w:rFonts w:ascii="Courier New" w:cs="Courier New" w:eastAsia="Courier New" w:hAnsi="Courier New"/>
          <w:color w:val="CC4400"/>
          <w:sz w:val="18"/>
          <w:szCs w:val="18"/>
        </w:rPr>
        <w:t xml:space="preserve">pip install openpyxl pandas pdfplumber python-docx</w:t>
      </w:r>
    </w:p>
    <w:p>
      <w:pPr>
        <w:spacing w:before="80" w:after="8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Repository Structure</w:t>
      </w:r>
    </w:p>
    <w:p>
      <w:pPr>
        <w:shd w:fill="F5F5F5" w:val="clear"/>
        <w:spacing w:before="40" w:after="40"/>
        <w:ind w:left="720"/>
      </w:pPr>
      <w:r>
        <w:rPr>
          <w:rFonts w:ascii="Courier New" w:cs="Courier New" w:eastAsia="Courier New" w:hAnsi="Courier New"/>
          <w:color w:val="CC4400"/>
          <w:sz w:val="18"/>
          <w:szCs w:val="18"/>
        </w:rPr>
        <w:t xml:space="preserve">├── code/</w:t>
      </w:r>
    </w:p>
    <w:p>
      <w:pPr>
        <w:shd w:fill="F5F5F5" w:val="clear"/>
        <w:spacing w:before="40" w:after="40"/>
        <w:ind w:left="720"/>
      </w:pPr>
      <w:r>
        <w:rPr>
          <w:rFonts w:ascii="Courier New" w:cs="Courier New" w:eastAsia="Courier New" w:hAnsi="Courier New"/>
          <w:color w:val="CC4400"/>
          <w:sz w:val="18"/>
          <w:szCs w:val="18"/>
        </w:rPr>
        <w:t xml:space="preserve">│   └── model.py</w:t>
      </w:r>
    </w:p>
    <w:p>
      <w:pPr>
        <w:shd w:fill="F5F5F5" w:val="clear"/>
        <w:spacing w:before="40" w:after="40"/>
        <w:ind w:left="720"/>
      </w:pPr>
      <w:r>
        <w:rPr>
          <w:rFonts w:ascii="Courier New" w:cs="Courier New" w:eastAsia="Courier New" w:hAnsi="Courier New"/>
          <w:color w:val="CC4400"/>
          <w:sz w:val="18"/>
          <w:szCs w:val="18"/>
        </w:rPr>
        <w:t xml:space="preserve">├── input/</w:t>
      </w:r>
    </w:p>
    <w:p>
      <w:pPr>
        <w:shd w:fill="F5F5F5" w:val="clear"/>
        <w:spacing w:before="40" w:after="40"/>
        <w:ind w:left="720"/>
      </w:pPr>
      <w:r>
        <w:rPr>
          <w:rFonts w:ascii="Courier New" w:cs="Courier New" w:eastAsia="Courier New" w:hAnsi="Courier New"/>
          <w:color w:val="CC4400"/>
          <w:sz w:val="18"/>
          <w:szCs w:val="18"/>
        </w:rPr>
        <w:t xml:space="preserve">│   ├── 1. IVC DOE R2 (Input).xlsx</w:t>
      </w:r>
    </w:p>
    <w:p>
      <w:pPr>
        <w:shd w:fill="F5F5F5" w:val="clear"/>
        <w:spacing w:before="40" w:after="40"/>
        <w:ind w:left="720"/>
      </w:pPr>
      <w:r>
        <w:rPr>
          <w:rFonts w:ascii="Courier New" w:cs="Courier New" w:eastAsia="Courier New" w:hAnsi="Courier New"/>
          <w:color w:val="CC4400"/>
          <w:sz w:val="18"/>
          <w:szCs w:val="18"/>
        </w:rPr>
        <w:t xml:space="preserve">│   ├── 2. City of York Council (Input).xlsx</w:t>
      </w:r>
    </w:p>
    <w:p>
      <w:pPr>
        <w:shd w:fill="F5F5F5" w:val="clear"/>
        <w:spacing w:before="40" w:after="40"/>
        <w:ind w:left="720"/>
      </w:pPr>
      <w:r>
        <w:rPr>
          <w:rFonts w:ascii="Courier New" w:cs="Courier New" w:eastAsia="Courier New" w:hAnsi="Courier New"/>
          <w:color w:val="CC4400"/>
          <w:sz w:val="18"/>
          <w:szCs w:val="18"/>
        </w:rPr>
        <w:t xml:space="preserve">│   ├── 3. Digital Security IT Sample Register (Input).xlsx</w:t>
      </w:r>
    </w:p>
    <w:p>
      <w:pPr>
        <w:shd w:fill="F5F5F5" w:val="clear"/>
        <w:spacing w:before="40" w:after="40"/>
        <w:ind w:left="720"/>
      </w:pPr>
      <w:r>
        <w:rPr>
          <w:rFonts w:ascii="Courier New" w:cs="Courier New" w:eastAsia="Courier New" w:hAnsi="Courier New"/>
          <w:color w:val="CC4400"/>
          <w:sz w:val="18"/>
          <w:szCs w:val="18"/>
        </w:rPr>
        <w:t xml:space="preserve">│   ├── 4. Moorgate Crossrail Register (Input).xlsx</w:t>
      </w:r>
    </w:p>
    <w:p>
      <w:pPr>
        <w:shd w:fill="F5F5F5" w:val="clear"/>
        <w:spacing w:before="40" w:after="40"/>
        <w:ind w:left="720"/>
      </w:pPr>
      <w:r>
        <w:rPr>
          <w:rFonts w:ascii="Courier New" w:cs="Courier New" w:eastAsia="Courier New" w:hAnsi="Courier New"/>
          <w:color w:val="CC4400"/>
          <w:sz w:val="18"/>
          <w:szCs w:val="18"/>
        </w:rPr>
        <w:t xml:space="preserve">│   └── 5. Corporate_Risk_Register (Input).pdf</w:t>
      </w:r>
    </w:p>
    <w:p>
      <w:pPr>
        <w:shd w:fill="F5F5F5" w:val="clear"/>
        <w:spacing w:before="40" w:after="40"/>
        <w:ind w:left="720"/>
      </w:pPr>
      <w:r>
        <w:rPr>
          <w:rFonts w:ascii="Courier New" w:cs="Courier New" w:eastAsia="Courier New" w:hAnsi="Courier New"/>
          <w:color w:val="CC4400"/>
          <w:sz w:val="18"/>
          <w:szCs w:val="18"/>
        </w:rPr>
        <w:t xml:space="preserve">├── output/</w:t>
      </w:r>
    </w:p>
    <w:p>
      <w:pPr>
        <w:shd w:fill="F5F5F5" w:val="clear"/>
        <w:spacing w:before="40" w:after="40"/>
        <w:ind w:left="720"/>
      </w:pPr>
      <w:r>
        <w:rPr>
          <w:rFonts w:ascii="Courier New" w:cs="Courier New" w:eastAsia="Courier New" w:hAnsi="Courier New"/>
          <w:color w:val="CC4400"/>
          <w:sz w:val="18"/>
          <w:szCs w:val="18"/>
        </w:rPr>
        <w:t xml:space="preserve">│   ├── 4. Moorgate Crossrail Register (Final).xlsx   ← submission</w:t>
      </w:r>
    </w:p>
    <w:p>
      <w:pPr>
        <w:shd w:fill="F5F5F5" w:val="clear"/>
        <w:spacing w:before="40" w:after="40"/>
        <w:ind w:left="720"/>
      </w:pPr>
      <w:r>
        <w:rPr>
          <w:rFonts w:ascii="Courier New" w:cs="Courier New" w:eastAsia="Courier New" w:hAnsi="Courier New"/>
          <w:color w:val="CC4400"/>
          <w:sz w:val="18"/>
          <w:szCs w:val="18"/>
        </w:rPr>
        <w:t xml:space="preserve">│   └── 5. Corporate Risk Register (Final).xlsx       ← submission</w:t>
      </w:r>
    </w:p>
    <w:p>
      <w:pPr>
        <w:shd w:fill="F5F5F5" w:val="clear"/>
        <w:spacing w:before="40" w:after="40"/>
        <w:ind w:left="720"/>
      </w:pPr>
      <w:r>
        <w:rPr>
          <w:rFonts w:ascii="Courier New" w:cs="Courier New" w:eastAsia="Courier New" w:hAnsi="Courier New"/>
          <w:color w:val="CC4400"/>
          <w:sz w:val="18"/>
          <w:szCs w:val="18"/>
        </w:rPr>
        <w:t xml:space="preserve">├── notebooks/</w:t>
      </w:r>
    </w:p>
    <w:p>
      <w:pPr>
        <w:shd w:fill="F5F5F5" w:val="clear"/>
        <w:spacing w:before="40" w:after="40"/>
        <w:ind w:left="720"/>
      </w:pPr>
      <w:r>
        <w:rPr>
          <w:rFonts w:ascii="Courier New" w:cs="Courier New" w:eastAsia="Courier New" w:hAnsi="Courier New"/>
          <w:color w:val="CC4400"/>
          <w:sz w:val="18"/>
          <w:szCs w:val="18"/>
        </w:rPr>
        <w:t xml:space="preserve">│   └── pipeline.ipynb</w:t>
      </w:r>
    </w:p>
    <w:p>
      <w:pPr>
        <w:shd w:fill="F5F5F5" w:val="clear"/>
        <w:spacing w:before="40" w:after="40"/>
        <w:ind w:left="720"/>
      </w:pPr>
      <w:r>
        <w:rPr>
          <w:rFonts w:ascii="Courier New" w:cs="Courier New" w:eastAsia="Courier New" w:hAnsi="Courier New"/>
          <w:color w:val="CC4400"/>
          <w:sz w:val="18"/>
          <w:szCs w:val="18"/>
        </w:rPr>
        <w:t xml:space="preserve">├── README.md</w:t>
      </w:r>
    </w:p>
    <w:p>
      <w:pPr>
        <w:shd w:fill="F5F5F5" w:val="clear"/>
        <w:spacing w:before="40" w:after="40"/>
        <w:ind w:left="720"/>
      </w:pPr>
      <w:r>
        <w:rPr>
          <w:rFonts w:ascii="Courier New" w:cs="Courier New" w:eastAsia="Courier New" w:hAnsi="Courier New"/>
          <w:color w:val="CC4400"/>
          <w:sz w:val="18"/>
          <w:szCs w:val="18"/>
        </w:rPr>
        <w:t xml:space="preserve">└── Attestation.pdf</w:t>
      </w:r>
    </w:p>
    <w:p>
      <w:pPr>
        <w:spacing w:before="80" w:after="80"/>
      </w:pPr>
      <w:r>
        <w:t xml:space="preserve"/>
      </w:r>
    </w:p>
    <w:p>
      <w:pPr>
        <w:pBdr>
          <w:top w:val="single" w:color="DDDDDD" w:sz="4" w:space="8"/>
        </w:pBdr>
        <w:spacing w:before="400"/>
        <w:jc w:val="center"/>
      </w:pPr>
      <w:r>
        <w:rPr>
          <w:rFonts w:ascii="Arial" w:cs="Arial" w:eastAsia="Arial" w:hAnsi="Arial"/>
          <w:i/>
          <w:iCs/>
          <w:color w:val="AAAAAA"/>
          <w:sz w:val="16"/>
          <w:szCs w:val="16"/>
        </w:rPr>
        <w:t xml:space="preserve">Submitted to the OECD Nuclear Energy Agency Coding Competition · Deadline 27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2026-03-17T22:19:49.095Z</dcterms:created>
  <dcterms:modified xsi:type="dcterms:W3CDTF">2026-03-17T22:19:49.096Z</dcterms:modified>
</cp:coreProperties>
</file>

<file path=docProps/custom.xml><?xml version="1.0" encoding="utf-8"?>
<Properties xmlns="http://schemas.openxmlformats.org/officeDocument/2006/custom-properties" xmlns:vt="http://schemas.openxmlformats.org/officeDocument/2006/docPropsVTypes"/>
</file>