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Eleven Analyst Visual Guide and Milestones</w:t>
      </w:r>
    </w:p>
    <w:p>
      <w:r>
        <w:t>Developer handoff  |  Version 0.4  |  October 24 2026</w:t>
      </w:r>
    </w:p>
    <w:p>
      <w:r>
        <w:t>Build an interactive glossary that teaches players what each spin label means. A player selects a spin type, watches a marked ball rotate, adjusts spin independently of forward speed, and reads a short explanation. The viewer can first be developed using synthetic inputs. Product milestone one combines this viewer with evidence of a player difficulty, practice instructions, and a validated ball-machine key. The viewer alone is not completion of milestone one.</w:t>
      </w:r>
    </w:p>
    <w:p>
      <w:r>
        <w:rPr>
          <w:b/>
        </w:rPr>
        <w:t xml:space="preserve">Implementation checkpoint - 24 October 2026, version 0.3. The synthetic spin glossary and a conservative opponent-serve/first-return denominator are now implemented. The player confirmed explicit overhead-clockwise/counterclockwise naming, the documented receiver frame and right-handed play. The broader pilot does not replace the original long-sidespin/backhand gate. Actual in-game calibration and independent category validation remain pending. See section 14.</w:t>
      </w:r>
      <w:r>
        <w:t xml:space="preserve"/>
      </w:r>
    </w:p>
    <w:p>
      <w:pPr>
        <w:pStyle w:val="Heading1"/>
      </w:pPr>
      <w:r>
        <w:t>1 Scope and deliverable</w:t>
      </w:r>
    </w:p>
    <w:p>
      <w:r>
        <w:t>Deliver a reusable spin viewer embedded in a glossary page, with a preset selector, accessible controls, text explanations, and a documented input contract. Reuse the app’s existing framework and rendering stack where suitable. A 3D renderer is preferred for an unambiguous view of mixed spin; the implementation library is a team choice.</w:t>
      </w:r>
    </w:p>
    <w:tbl>
      <w:tblPr>
        <w:tblW w:type="auto" w:w="0"/>
        <w:tblLayout w:type="fixed"/>
        <w:tblLook w:firstColumn="1" w:firstRow="1" w:lastColumn="0" w:lastRow="0" w:noHBand="0" w:noVBand="1" w:val="04A0"/>
      </w:tblPr>
      <w:tblGrid>
        <w:gridCol w:w="5040"/>
        <w:gridCol w:w="5040"/>
      </w:tblGrid>
      <w:tr>
        <w:trPr>
          <w:cantSplit/>
          <w:tblHeader/>
        </w:trPr>
        <w:tc>
          <w:tcPr>
            <w:tcW w:type="dxa" w:w="5040"/>
            <w:shd w:fill="DCE6F1"/>
            <w:tcBorders>
              <w:top w:val="single" w:sz="4" w:color="D9D9D9"/>
              <w:left w:val="single" w:sz="4" w:color="D9D9D9"/>
              <w:bottom w:val="single" w:sz="4" w:color="D9D9D9"/>
              <w:right w:val="single" w:sz="4" w:color="D9D9D9"/>
            </w:tcBorders>
          </w:tcPr>
          <w:p>
            <w:pPr>
              <w:spacing w:before="80" w:after="80"/>
            </w:pPr>
            <w:r>
              <w:rPr>
                <w:b/>
                <w:sz w:val="20"/>
              </w:rPr>
              <w:t>Initial viewer component</w:t>
            </w:r>
          </w:p>
        </w:tc>
        <w:tc>
          <w:tcPr>
            <w:tcW w:type="dxa" w:w="5040"/>
            <w:shd w:fill="DCE6F1"/>
            <w:tcBorders>
              <w:top w:val="single" w:sz="4" w:color="D9D9D9"/>
              <w:left w:val="single" w:sz="4" w:color="D9D9D9"/>
              <w:bottom w:val="single" w:sz="4" w:color="D9D9D9"/>
              <w:right w:val="single" w:sz="4" w:color="D9D9D9"/>
            </w:tcBorders>
          </w:tcPr>
          <w:p>
            <w:pPr>
              <w:spacing w:before="80" w:after="80"/>
            </w:pPr>
            <w:r>
              <w:rPr>
                <w:b/>
                <w:sz w:val="20"/>
              </w:rPr>
              <w:t>Outside viewer component</w:t>
            </w:r>
          </w:p>
        </w:tc>
      </w:tr>
      <w:tr>
        <w:trPr>
          <w:cantSplit/>
        </w:trPr>
        <w:tc>
          <w:tcPr>
            <w:tcW w:type="dxa" w:w="5040"/>
            <w:shd w:fill="FFFFFF"/>
            <w:tcBorders>
              <w:top w:val="single" w:sz="4" w:color="D9D9D9"/>
              <w:left w:val="single" w:sz="4" w:color="D9D9D9"/>
              <w:bottom w:val="single" w:sz="4" w:color="D9D9D9"/>
              <w:right w:val="single" w:sz="4" w:color="D9D9D9"/>
            </w:tcBorders>
          </w:tcPr>
          <w:p>
            <w:pPr>
              <w:spacing w:before="80" w:after="80"/>
            </w:pPr>
            <w:r>
              <w:rPr>
                <w:b w:val="0"/>
                <w:sz w:val="20"/>
              </w:rPr>
              <w:t>Topspin, backspin, both sidespin directions, mixed side-top and side-back spin, and negligible spin.</w:t>
            </w:r>
          </w:p>
        </w:tc>
        <w:tc>
          <w:tcPr>
            <w:tcW w:type="dxa" w:w="5040"/>
            <w:shd w:fill="FFFFFF"/>
            <w:tcBorders>
              <w:top w:val="single" w:sz="4" w:color="D9D9D9"/>
              <w:left w:val="single" w:sz="4" w:color="D9D9D9"/>
              <w:bottom w:val="single" w:sz="4" w:color="D9D9D9"/>
              <w:right w:val="single" w:sz="4" w:color="D9D9D9"/>
            </w:tcBorders>
          </w:tcPr>
          <w:p>
            <w:pPr>
              <w:spacing w:before="80" w:after="80"/>
            </w:pPr>
            <w:r>
              <w:rPr>
                <w:b w:val="0"/>
                <w:sz w:val="20"/>
              </w:rPr>
              <w:t>Automatic shot classification and direct log synchronization.</w:t>
            </w:r>
          </w:p>
        </w:tc>
      </w:tr>
      <w:tr>
        <w:trPr>
          <w:cantSplit/>
        </w:trPr>
        <w:tc>
          <w:tcPr>
            <w:tcW w:type="dxa" w:w="5040"/>
            <w:shd w:fill="FFFFFF"/>
            <w:tcBorders>
              <w:top w:val="single" w:sz="4" w:color="D9D9D9"/>
              <w:left w:val="single" w:sz="4" w:color="D9D9D9"/>
              <w:bottom w:val="single" w:sz="4" w:color="D9D9D9"/>
              <w:right w:val="single" w:sz="4" w:color="D9D9D9"/>
            </w:tcBorders>
          </w:tcPr>
          <w:p>
            <w:pPr>
              <w:spacing w:before="80" w:after="80"/>
            </w:pPr>
            <w:r>
              <w:rPr>
                <w:b w:val="0"/>
                <w:sz w:val="20"/>
              </w:rPr>
              <w:t>Marked sphere, axis indicator, rotation arrow, travel-direction arrow, and fixed camera presets.</w:t>
            </w:r>
          </w:p>
        </w:tc>
        <w:tc>
          <w:tcPr>
            <w:tcW w:type="dxa" w:w="5040"/>
            <w:shd w:fill="FFFFFF"/>
            <w:tcBorders>
              <w:top w:val="single" w:sz="4" w:color="D9D9D9"/>
              <w:left w:val="single" w:sz="4" w:color="D9D9D9"/>
              <w:bottom w:val="single" w:sz="4" w:color="D9D9D9"/>
              <w:right w:val="single" w:sz="4" w:color="D9D9D9"/>
            </w:tcBorders>
          </w:tcPr>
          <w:p>
            <w:pPr>
              <w:spacing w:before="80" w:after="80"/>
            </w:pPr>
            <w:r>
              <w:rPr>
                <w:b w:val="0"/>
                <w:sz w:val="20"/>
              </w:rPr>
              <w:t>Calibrated flight physics, bounce prediction, and serve reconstruction.</w:t>
            </w:r>
          </w:p>
        </w:tc>
      </w:tr>
      <w:tr>
        <w:trPr>
          <w:cantSplit/>
        </w:trPr>
        <w:tc>
          <w:tcPr>
            <w:tcW w:type="dxa" w:w="5040"/>
            <w:shd w:fill="FFFFFF"/>
            <w:tcBorders>
              <w:top w:val="single" w:sz="4" w:color="D9D9D9"/>
              <w:left w:val="single" w:sz="4" w:color="D9D9D9"/>
              <w:bottom w:val="single" w:sz="4" w:color="D9D9D9"/>
              <w:right w:val="single" w:sz="4" w:color="D9D9D9"/>
            </w:tcBorders>
          </w:tcPr>
          <w:p>
            <w:pPr>
              <w:spacing w:before="80" w:after="80"/>
            </w:pPr>
            <w:r>
              <w:rPr>
                <w:b w:val="0"/>
                <w:sz w:val="20"/>
              </w:rPr>
              <w:t>Independent spin and travel-speed controls, pause, reset, and slow motion.</w:t>
            </w:r>
          </w:p>
        </w:tc>
        <w:tc>
          <w:tcPr>
            <w:tcW w:type="dxa" w:w="5040"/>
            <w:shd w:fill="FFFFFF"/>
            <w:tcBorders>
              <w:top w:val="single" w:sz="4" w:color="D9D9D9"/>
              <w:left w:val="single" w:sz="4" w:color="D9D9D9"/>
              <w:bottom w:val="single" w:sz="4" w:color="D9D9D9"/>
              <w:right w:val="single" w:sz="4" w:color="D9D9D9"/>
            </w:tcBorders>
          </w:tcPr>
          <w:p>
            <w:pPr>
              <w:spacing w:before="80" w:after="80"/>
            </w:pPr>
            <w:r>
              <w:rPr>
                <w:b w:val="0"/>
                <w:sz w:val="20"/>
              </w:rPr>
              <w:t>Match heatmaps, practice code exports, and improvement dashboards.</w:t>
            </w:r>
          </w:p>
        </w:tc>
      </w:tr>
      <w:tr>
        <w:trPr>
          <w:cantSplit/>
        </w:trPr>
        <w:tc>
          <w:tcPr>
            <w:tcW w:type="dxa" w:w="5040"/>
            <w:shd w:fill="FFFFFF"/>
            <w:tcBorders>
              <w:top w:val="single" w:sz="4" w:color="D9D9D9"/>
              <w:left w:val="single" w:sz="4" w:color="D9D9D9"/>
              <w:bottom w:val="single" w:sz="4" w:color="D9D9D9"/>
              <w:right w:val="single" w:sz="4" w:color="D9D9D9"/>
            </w:tcBorders>
          </w:tcPr>
          <w:p>
            <w:pPr>
              <w:spacing w:before="80" w:after="80"/>
            </w:pPr>
            <w:r>
              <w:rPr>
                <w:b w:val="0"/>
                <w:sz w:val="20"/>
              </w:rPr>
              <w:t>Mobile and desktop layouts; reduced-motion and static alternatives.</w:t>
            </w:r>
          </w:p>
        </w:tc>
        <w:tc>
          <w:tcPr>
            <w:tcW w:type="dxa" w:w="5040"/>
            <w:shd w:fill="FFFFFF"/>
            <w:tcBorders>
              <w:top w:val="single" w:sz="4" w:color="D9D9D9"/>
              <w:left w:val="single" w:sz="4" w:color="D9D9D9"/>
              <w:bottom w:val="single" w:sz="4" w:color="D9D9D9"/>
              <w:right w:val="single" w:sz="4" w:color="D9D9D9"/>
            </w:tcBorders>
          </w:tcPr>
          <w:p>
            <w:pPr>
              <w:spacing w:before="80" w:after="80"/>
            </w:pPr>
            <w:r>
              <w:rPr>
                <w:b w:val="0"/>
                <w:sz w:val="20"/>
              </w:rPr>
              <w:t>Technique-motion animations such as pendulum or tomahawk serves.</w:t>
            </w:r>
          </w:p>
        </w:tc>
      </w:tr>
    </w:tbl>
    <w:p>
      <w:pPr>
        <w:spacing w:after="0"/>
      </w:pPr>
    </w:p>
    <w:p>
      <w:pPr>
        <w:pStyle w:val="Heading1"/>
      </w:pPr>
      <w:r>
        <w:t>2 Player interaction</w:t>
      </w:r>
    </w:p>
    <w:p>
      <w:r>
        <w:t>On first load, show a paused topspin example with a visible Play button. The player chooses a preset, starts the animation, changes spin strength, then switches camera views to inspect the axis. Changing spin must not silently change ball speed or placement. Reset restores the selected preset and its camera.</w:t>
      </w:r>
    </w:p>
    <w:p>
      <w:r>
        <w:t>Display a short sentence such as “Topspin: the top surface rotates in the direction of travel.” For mixed spin, show both components in plain language. Label every example “Illustrative”; the guide is not a replay of a measured shot.</w:t>
      </w:r>
    </w:p>
    <w:p>
      <w:pPr>
        <w:pStyle w:val="Heading1"/>
      </w:pPr>
      <w:r>
        <w:t>3 Screen layout</w:t>
      </w:r>
    </w:p>
    <w:p>
      <w:r>
        <w:t>Desktop: preset selector above the viewer; explanation and controls beside or below it. Mobile: viewer first, then preset selector, explanation, and stacked controls. Keep the spin name, receiver orientation, Play or Pause, and Reset visible without navigating to another screen.</w:t>
      </w:r>
    </w:p>
    <w:p>
      <w:r>
        <w:t>Viewer elements: contrasting ball markings, faint table or ground reference, labeled receiver and opponent ends, travel arrow, rotation axis, and curved rotation arrow. Include a small orientation legend. Do not rely on ball color alone to convey direction.</w:t>
      </w:r>
    </w:p>
    <w:p>
      <w:pPr>
        <w:pStyle w:val="Heading1"/>
        <w:pageBreakBefore/>
      </w:pPr>
      <w:r>
        <w:t>4 Coordinate and direction contract</w:t>
      </w:r>
    </w:p>
    <w:p>
      <w:r>
        <w:t>Use a documented right-handed visualization frame: +X points to the receiver’s right, +Y points upward, and +Z points from the opponent toward the receiver. The receiver faces −Z. The default incoming ball travels along +Z. World coordinates from future logs must be explicitly converted into this frame.</w:t>
      </w:r>
    </w:p>
    <w:tbl>
      <w:tblPr>
        <w:tblW w:type="auto" w:w="0"/>
        <w:tblLayout w:type="fixed"/>
        <w:tblLook w:firstColumn="1" w:firstRow="1" w:lastColumn="0" w:lastRow="0" w:noHBand="0" w:noVBand="1" w:val="04A0"/>
      </w:tblPr>
      <w:tblGrid>
        <w:gridCol w:w="4464"/>
        <w:gridCol w:w="5616"/>
      </w:tblGrid>
      <w:tr>
        <w:trPr>
          <w:cantSplit/>
          <w:tblHeader/>
        </w:trPr>
        <w:tc>
          <w:tcPr>
            <w:tcW w:type="dxa" w:w="4464"/>
            <w:shd w:fill="DCE6F1"/>
            <w:tcBorders>
              <w:top w:val="single" w:sz="4" w:color="D9D9D9"/>
              <w:left w:val="single" w:sz="4" w:color="D9D9D9"/>
              <w:bottom w:val="single" w:sz="4" w:color="D9D9D9"/>
              <w:right w:val="single" w:sz="4" w:color="D9D9D9"/>
            </w:tcBorders>
          </w:tcPr>
          <w:p>
            <w:pPr>
              <w:spacing w:before="80" w:after="80"/>
            </w:pPr>
            <w:r>
              <w:rPr>
                <w:b/>
                <w:sz w:val="20"/>
              </w:rPr>
              <w:t>Preset</w:t>
            </w:r>
          </w:p>
        </w:tc>
        <w:tc>
          <w:tcPr>
            <w:tcW w:type="dxa" w:w="5616"/>
            <w:shd w:fill="DCE6F1"/>
            <w:tcBorders>
              <w:top w:val="single" w:sz="4" w:color="D9D9D9"/>
              <w:left w:val="single" w:sz="4" w:color="D9D9D9"/>
              <w:bottom w:val="single" w:sz="4" w:color="D9D9D9"/>
              <w:right w:val="single" w:sz="4" w:color="D9D9D9"/>
            </w:tcBorders>
          </w:tcPr>
          <w:p>
            <w:pPr>
              <w:spacing w:before="80" w:after="80"/>
            </w:pPr>
            <w:r>
              <w:rPr>
                <w:b/>
                <w:sz w:val="20"/>
              </w:rPr>
              <w:t>Angular velocity in viewer frame</w:t>
            </w:r>
          </w:p>
        </w:tc>
      </w:tr>
      <w:tr>
        <w:trPr>
          <w:cantSplit/>
        </w:trPr>
        <w:tc>
          <w:tcPr>
            <w:tcW w:type="dxa" w:w="4464"/>
            <w:shd w:fill="FFFFFF"/>
            <w:tcBorders>
              <w:top w:val="single" w:sz="4" w:color="D9D9D9"/>
              <w:left w:val="single" w:sz="4" w:color="D9D9D9"/>
              <w:bottom w:val="single" w:sz="4" w:color="D9D9D9"/>
              <w:right w:val="single" w:sz="4" w:color="D9D9D9"/>
            </w:tcBorders>
          </w:tcPr>
          <w:p>
            <w:pPr>
              <w:spacing w:before="80" w:after="80"/>
            </w:pPr>
            <w:r>
              <w:rPr>
                <w:b w:val="0"/>
                <w:sz w:val="20"/>
              </w:rPr>
              <w:t>Topspin</w:t>
            </w:r>
          </w:p>
        </w:tc>
        <w:tc>
          <w:tcPr>
            <w:tcW w:type="dxa" w:w="5616"/>
            <w:shd w:fill="FFFFFF"/>
            <w:tcBorders>
              <w:top w:val="single" w:sz="4" w:color="D9D9D9"/>
              <w:left w:val="single" w:sz="4" w:color="D9D9D9"/>
              <w:bottom w:val="single" w:sz="4" w:color="D9D9D9"/>
              <w:right w:val="single" w:sz="4" w:color="D9D9D9"/>
            </w:tcBorders>
          </w:tcPr>
          <w:p>
            <w:pPr>
              <w:spacing w:before="80" w:after="80"/>
            </w:pPr>
            <w:r>
              <w:rPr>
                <w:b w:val="0"/>
                <w:sz w:val="20"/>
              </w:rPr>
              <w:t>Positive X component; Y and Z zero.</w:t>
            </w:r>
          </w:p>
        </w:tc>
      </w:tr>
      <w:tr>
        <w:trPr>
          <w:cantSplit/>
        </w:trPr>
        <w:tc>
          <w:tcPr>
            <w:tcW w:type="dxa" w:w="4464"/>
            <w:shd w:fill="FFFFFF"/>
            <w:tcBorders>
              <w:top w:val="single" w:sz="4" w:color="D9D9D9"/>
              <w:left w:val="single" w:sz="4" w:color="D9D9D9"/>
              <w:bottom w:val="single" w:sz="4" w:color="D9D9D9"/>
              <w:right w:val="single" w:sz="4" w:color="D9D9D9"/>
            </w:tcBorders>
          </w:tcPr>
          <w:p>
            <w:pPr>
              <w:spacing w:before="80" w:after="80"/>
            </w:pPr>
            <w:r>
              <w:rPr>
                <w:b w:val="0"/>
                <w:sz w:val="20"/>
              </w:rPr>
              <w:t>Backspin</w:t>
            </w:r>
          </w:p>
        </w:tc>
        <w:tc>
          <w:tcPr>
            <w:tcW w:type="dxa" w:w="5616"/>
            <w:shd w:fill="FFFFFF"/>
            <w:tcBorders>
              <w:top w:val="single" w:sz="4" w:color="D9D9D9"/>
              <w:left w:val="single" w:sz="4" w:color="D9D9D9"/>
              <w:bottom w:val="single" w:sz="4" w:color="D9D9D9"/>
              <w:right w:val="single" w:sz="4" w:color="D9D9D9"/>
            </w:tcBorders>
          </w:tcPr>
          <w:p>
            <w:pPr>
              <w:spacing w:before="80" w:after="80"/>
            </w:pPr>
            <w:r>
              <w:rPr>
                <w:b w:val="0"/>
                <w:sz w:val="20"/>
              </w:rPr>
              <w:t>Negative X component; Y and Z zero.</w:t>
            </w:r>
          </w:p>
        </w:tc>
      </w:tr>
      <w:tr>
        <w:trPr>
          <w:cantSplit/>
        </w:trPr>
        <w:tc>
          <w:tcPr>
            <w:tcW w:type="dxa" w:w="4464"/>
            <w:shd w:fill="FFFFFF"/>
            <w:tcBorders>
              <w:top w:val="single" w:sz="4" w:color="D9D9D9"/>
              <w:left w:val="single" w:sz="4" w:color="D9D9D9"/>
              <w:bottom w:val="single" w:sz="4" w:color="D9D9D9"/>
              <w:right w:val="single" w:sz="4" w:color="D9D9D9"/>
            </w:tcBorders>
          </w:tcPr>
          <w:p>
            <w:pPr>
              <w:spacing w:before="80" w:after="80"/>
            </w:pPr>
            <w:r>
              <w:rPr>
                <w:b w:val="0"/>
                <w:sz w:val="20"/>
              </w:rPr>
              <w:t>Clockwise sidespin viewed from above</w:t>
            </w:r>
          </w:p>
        </w:tc>
        <w:tc>
          <w:tcPr>
            <w:tcW w:type="dxa" w:w="5616"/>
            <w:shd w:fill="FFFFFF"/>
            <w:tcBorders>
              <w:top w:val="single" w:sz="4" w:color="D9D9D9"/>
              <w:left w:val="single" w:sz="4" w:color="D9D9D9"/>
              <w:bottom w:val="single" w:sz="4" w:color="D9D9D9"/>
              <w:right w:val="single" w:sz="4" w:color="D9D9D9"/>
            </w:tcBorders>
          </w:tcPr>
          <w:p>
            <w:pPr>
              <w:spacing w:before="80" w:after="80"/>
            </w:pPr>
            <w:r>
              <w:rPr>
                <w:b w:val="0"/>
                <w:sz w:val="20"/>
              </w:rPr>
              <w:t>Negative Y component; X and Z zero.</w:t>
            </w:r>
          </w:p>
        </w:tc>
      </w:tr>
      <w:tr>
        <w:trPr>
          <w:cantSplit/>
        </w:trPr>
        <w:tc>
          <w:tcPr>
            <w:tcW w:type="dxa" w:w="4464"/>
            <w:shd w:fill="FFFFFF"/>
            <w:tcBorders>
              <w:top w:val="single" w:sz="4" w:color="D9D9D9"/>
              <w:left w:val="single" w:sz="4" w:color="D9D9D9"/>
              <w:bottom w:val="single" w:sz="4" w:color="D9D9D9"/>
              <w:right w:val="single" w:sz="4" w:color="D9D9D9"/>
            </w:tcBorders>
          </w:tcPr>
          <w:p>
            <w:pPr>
              <w:spacing w:before="80" w:after="80"/>
            </w:pPr>
            <w:r>
              <w:rPr>
                <w:b w:val="0"/>
                <w:sz w:val="20"/>
              </w:rPr>
              <w:t>Counterclockwise sidespin viewed from above</w:t>
            </w:r>
          </w:p>
        </w:tc>
        <w:tc>
          <w:tcPr>
            <w:tcW w:type="dxa" w:w="5616"/>
            <w:shd w:fill="FFFFFF"/>
            <w:tcBorders>
              <w:top w:val="single" w:sz="4" w:color="D9D9D9"/>
              <w:left w:val="single" w:sz="4" w:color="D9D9D9"/>
              <w:bottom w:val="single" w:sz="4" w:color="D9D9D9"/>
              <w:right w:val="single" w:sz="4" w:color="D9D9D9"/>
            </w:tcBorders>
          </w:tcPr>
          <w:p>
            <w:pPr>
              <w:spacing w:before="80" w:after="80"/>
            </w:pPr>
            <w:r>
              <w:rPr>
                <w:b w:val="0"/>
                <w:sz w:val="20"/>
              </w:rPr>
              <w:t>Positive Y component; X and Z zero.</w:t>
            </w:r>
          </w:p>
        </w:tc>
      </w:tr>
      <w:tr>
        <w:trPr>
          <w:cantSplit/>
        </w:trPr>
        <w:tc>
          <w:tcPr>
            <w:tcW w:type="dxa" w:w="4464"/>
            <w:shd w:fill="FFFFFF"/>
            <w:tcBorders>
              <w:top w:val="single" w:sz="4" w:color="D9D9D9"/>
              <w:left w:val="single" w:sz="4" w:color="D9D9D9"/>
              <w:bottom w:val="single" w:sz="4" w:color="D9D9D9"/>
              <w:right w:val="single" w:sz="4" w:color="D9D9D9"/>
            </w:tcBorders>
          </w:tcPr>
          <w:p>
            <w:pPr>
              <w:spacing w:before="80" w:after="80"/>
            </w:pPr>
            <w:r>
              <w:rPr>
                <w:b w:val="0"/>
                <w:sz w:val="20"/>
              </w:rPr>
              <w:t>Side topspin</w:t>
            </w:r>
          </w:p>
        </w:tc>
        <w:tc>
          <w:tcPr>
            <w:tcW w:type="dxa" w:w="5616"/>
            <w:shd w:fill="FFFFFF"/>
            <w:tcBorders>
              <w:top w:val="single" w:sz="4" w:color="D9D9D9"/>
              <w:left w:val="single" w:sz="4" w:color="D9D9D9"/>
              <w:bottom w:val="single" w:sz="4" w:color="D9D9D9"/>
              <w:right w:val="single" w:sz="4" w:color="D9D9D9"/>
            </w:tcBorders>
          </w:tcPr>
          <w:p>
            <w:pPr>
              <w:spacing w:before="80" w:after="80"/>
            </w:pPr>
            <w:r>
              <w:rPr>
                <w:b w:val="0"/>
                <w:sz w:val="20"/>
              </w:rPr>
              <w:t>Positive X plus the selected signed Y component.</w:t>
            </w:r>
          </w:p>
        </w:tc>
      </w:tr>
      <w:tr>
        <w:trPr>
          <w:cantSplit/>
        </w:trPr>
        <w:tc>
          <w:tcPr>
            <w:tcW w:type="dxa" w:w="4464"/>
            <w:shd w:fill="FFFFFF"/>
            <w:tcBorders>
              <w:top w:val="single" w:sz="4" w:color="D9D9D9"/>
              <w:left w:val="single" w:sz="4" w:color="D9D9D9"/>
              <w:bottom w:val="single" w:sz="4" w:color="D9D9D9"/>
              <w:right w:val="single" w:sz="4" w:color="D9D9D9"/>
            </w:tcBorders>
          </w:tcPr>
          <w:p>
            <w:pPr>
              <w:spacing w:before="80" w:after="80"/>
            </w:pPr>
            <w:r>
              <w:rPr>
                <w:b w:val="0"/>
                <w:sz w:val="20"/>
              </w:rPr>
              <w:t>Side backspin</w:t>
            </w:r>
          </w:p>
        </w:tc>
        <w:tc>
          <w:tcPr>
            <w:tcW w:type="dxa" w:w="5616"/>
            <w:shd w:fill="FFFFFF"/>
            <w:tcBorders>
              <w:top w:val="single" w:sz="4" w:color="D9D9D9"/>
              <w:left w:val="single" w:sz="4" w:color="D9D9D9"/>
              <w:bottom w:val="single" w:sz="4" w:color="D9D9D9"/>
              <w:right w:val="single" w:sz="4" w:color="D9D9D9"/>
            </w:tcBorders>
          </w:tcPr>
          <w:p>
            <w:pPr>
              <w:spacing w:before="80" w:after="80"/>
            </w:pPr>
            <w:r>
              <w:rPr>
                <w:b w:val="0"/>
                <w:sz w:val="20"/>
              </w:rPr>
              <w:t>Negative X plus the selected signed Y component.</w:t>
            </w:r>
          </w:p>
        </w:tc>
      </w:tr>
      <w:tr>
        <w:trPr>
          <w:cantSplit/>
        </w:trPr>
        <w:tc>
          <w:tcPr>
            <w:tcW w:type="dxa" w:w="4464"/>
            <w:shd w:fill="FFFFFF"/>
            <w:tcBorders>
              <w:top w:val="single" w:sz="4" w:color="D9D9D9"/>
              <w:left w:val="single" w:sz="4" w:color="D9D9D9"/>
              <w:bottom w:val="single" w:sz="4" w:color="D9D9D9"/>
              <w:right w:val="single" w:sz="4" w:color="D9D9D9"/>
            </w:tcBorders>
          </w:tcPr>
          <w:p>
            <w:pPr>
              <w:spacing w:before="80" w:after="80"/>
            </w:pPr>
            <w:r>
              <w:rPr>
                <w:b w:val="0"/>
                <w:sz w:val="20"/>
              </w:rPr>
              <w:t>Negligible spin</w:t>
            </w:r>
          </w:p>
        </w:tc>
        <w:tc>
          <w:tcPr>
            <w:tcW w:type="dxa" w:w="5616"/>
            <w:shd w:fill="FFFFFF"/>
            <w:tcBorders>
              <w:top w:val="single" w:sz="4" w:color="D9D9D9"/>
              <w:left w:val="single" w:sz="4" w:color="D9D9D9"/>
              <w:bottom w:val="single" w:sz="4" w:color="D9D9D9"/>
              <w:right w:val="single" w:sz="4" w:color="D9D9D9"/>
            </w:tcBorders>
          </w:tcPr>
          <w:p>
            <w:pPr>
              <w:spacing w:before="80" w:after="80"/>
            </w:pPr>
            <w:r>
              <w:rPr>
                <w:b w:val="0"/>
                <w:sz w:val="20"/>
              </w:rPr>
              <w:t>Zero angular velocity in the synthetic example; no axis-direction claim.</w:t>
            </w:r>
          </w:p>
        </w:tc>
      </w:tr>
      <w:tr>
        <w:trPr>
          <w:cantSplit/>
        </w:trPr>
        <w:tc>
          <w:tcPr>
            <w:tcW w:type="dxa" w:w="4464"/>
            <w:shd w:fill="FFFFFF"/>
            <w:tcBorders>
              <w:top w:val="single" w:sz="4" w:color="D9D9D9"/>
              <w:left w:val="single" w:sz="4" w:color="D9D9D9"/>
              <w:bottom w:val="single" w:sz="4" w:color="D9D9D9"/>
              <w:right w:val="single" w:sz="4" w:color="D9D9D9"/>
            </w:tcBorders>
          </w:tcPr>
          <w:p>
            <w:pPr>
              <w:spacing w:before="80" w:after="80"/>
            </w:pPr>
            <w:r>
              <w:rPr>
                <w:b w:val="0"/>
                <w:sz w:val="20"/>
              </w:rPr>
              <w:t>Axial rotation in advanced mode</w:t>
            </w:r>
          </w:p>
        </w:tc>
        <w:tc>
          <w:tcPr>
            <w:tcW w:type="dxa" w:w="5616"/>
            <w:shd w:fill="FFFFFF"/>
            <w:tcBorders>
              <w:top w:val="single" w:sz="4" w:color="D9D9D9"/>
              <w:left w:val="single" w:sz="4" w:color="D9D9D9"/>
              <w:bottom w:val="single" w:sz="4" w:color="D9D9D9"/>
              <w:right w:val="single" w:sz="4" w:color="D9D9D9"/>
            </w:tcBorders>
          </w:tcPr>
          <w:p>
            <w:pPr>
              <w:spacing w:before="80" w:after="80"/>
            </w:pPr>
            <w:r>
              <w:rPr>
                <w:b w:val="0"/>
                <w:sz w:val="20"/>
              </w:rPr>
              <w:t>Rotation about the travel direction; preserve as a third component.</w:t>
            </w:r>
          </w:p>
        </w:tc>
      </w:tr>
    </w:tbl>
    <w:p>
      <w:pPr>
        <w:spacing w:after="0"/>
      </w:pPr>
    </w:p>
    <w:p>
      <w:r>
        <w:t>Confirmed product naming: use clockwise or counterclockwise viewed from above as the primary sidespin labels. Do not impose the proposed left/right sidespin synonyms. In the documented right-handed synthetic frame, overhead-clockwise is -Y and counterclockwise is +Y. This does not establish a conversion from Eleven log coordinates or machine sliders.</w:t>
      </w:r>
    </w:p>
    <w:p>
      <w:r>
        <w:t>Keep the underlying spin vector unchanged when the camera moves. Changing from receiver view to overhead view must not reverse the preset name or the physical rotation. Treat camera controls and player handedness as independent from the spin vector.</w:t>
      </w:r>
    </w:p>
    <w:p>
      <w:pPr>
        <w:pStyle w:val="Heading1"/>
      </w:pPr>
      <w:r>
        <w:t>5 Animation behavior</w:t>
      </w:r>
    </w:p>
    <w:p>
      <w:r>
        <w:t>Represent rotation using a normalized quaternion or equivalent stable rotation method. Integrate angular velocity using elapsed time, not frame count. In this frame, positive angular velocity follows the right-hand rule. Use a fixed timestep with interpolation, or another demonstrably frame-rate-independent implementation.</w:t>
      </w:r>
    </w:p>
    <w:p>
      <w:r>
        <w:t>Use an asymmetric pattern with a stripe and distinct dots so rotation remains recognizable. The axis line aligns with the angular velocity vector; hide it when magnitude is zero. Arrow direction must match the surface motion. Test pure-axis presets before combined spin.</w:t>
      </w:r>
    </w:p>
    <w:p>
      <w:r>
        <w:t>In inspect mode, keep the ball centered and use the travel arrow to communicate direction. In optional straight-travel mode, translate the ball across a short path and reset with a clear loop transition. Do not add unvalidated spin-induced curvature or bounce effects.</w:t>
      </w:r>
    </w:p>
    <w:p>
      <w:pPr>
        <w:pStyle w:val="Heading1"/>
        <w:pageBreakBefore/>
      </w:pPr>
      <w:r>
        <w:t>6 Controls and input data</w:t>
      </w:r>
    </w:p>
    <w:tbl>
      <w:tblPr>
        <w:tblW w:type="auto" w:w="0"/>
        <w:tblLayout w:type="fixed"/>
        <w:tblLook w:firstColumn="1" w:firstRow="1" w:lastColumn="0" w:lastRow="0" w:noHBand="0" w:noVBand="1" w:val="04A0"/>
      </w:tblPr>
      <w:tblGrid>
        <w:gridCol w:w="2232"/>
        <w:gridCol w:w="7848"/>
      </w:tblGrid>
      <w:tr>
        <w:trPr>
          <w:cantSplit/>
          <w:tblHeader/>
        </w:trPr>
        <w:tc>
          <w:tcPr>
            <w:tcW w:type="dxa" w:w="2232"/>
            <w:shd w:fill="DCE6F1"/>
            <w:tcBorders>
              <w:top w:val="single" w:sz="4" w:color="D9D9D9"/>
              <w:left w:val="single" w:sz="4" w:color="D9D9D9"/>
              <w:bottom w:val="single" w:sz="4" w:color="D9D9D9"/>
              <w:right w:val="single" w:sz="4" w:color="D9D9D9"/>
            </w:tcBorders>
          </w:tcPr>
          <w:p>
            <w:pPr>
              <w:spacing w:before="80" w:after="80"/>
            </w:pPr>
            <w:r>
              <w:rPr>
                <w:b/>
                <w:sz w:val="20"/>
              </w:rPr>
              <w:t>Control</w:t>
            </w:r>
          </w:p>
        </w:tc>
        <w:tc>
          <w:tcPr>
            <w:tcW w:type="dxa" w:w="7848"/>
            <w:shd w:fill="DCE6F1"/>
            <w:tcBorders>
              <w:top w:val="single" w:sz="4" w:color="D9D9D9"/>
              <w:left w:val="single" w:sz="4" w:color="D9D9D9"/>
              <w:bottom w:val="single" w:sz="4" w:color="D9D9D9"/>
              <w:right w:val="single" w:sz="4" w:color="D9D9D9"/>
            </w:tcBorders>
          </w:tcPr>
          <w:p>
            <w:pPr>
              <w:spacing w:before="80" w:after="80"/>
            </w:pPr>
            <w:r>
              <w:rPr>
                <w:b/>
                <w:sz w:val="20"/>
              </w:rPr>
              <w:t>Required behavior</w:t>
            </w:r>
          </w:p>
        </w:tc>
      </w:tr>
      <w:tr>
        <w:trPr>
          <w:cantSplit/>
        </w:trPr>
        <w:tc>
          <w:tcPr>
            <w:tcW w:type="dxa" w:w="2232"/>
            <w:shd w:fill="FFFFFF"/>
            <w:tcBorders>
              <w:top w:val="single" w:sz="4" w:color="D9D9D9"/>
              <w:left w:val="single" w:sz="4" w:color="D9D9D9"/>
              <w:bottom w:val="single" w:sz="4" w:color="D9D9D9"/>
              <w:right w:val="single" w:sz="4" w:color="D9D9D9"/>
            </w:tcBorders>
          </w:tcPr>
          <w:p>
            <w:pPr>
              <w:spacing w:before="80" w:after="80"/>
            </w:pPr>
            <w:r>
              <w:rPr>
                <w:b w:val="0"/>
                <w:sz w:val="20"/>
              </w:rPr>
              <w:t>Preset</w:t>
            </w:r>
          </w:p>
        </w:tc>
        <w:tc>
          <w:tcPr>
            <w:tcW w:type="dxa" w:w="7848"/>
            <w:shd w:fill="FFFFFF"/>
            <w:tcBorders>
              <w:top w:val="single" w:sz="4" w:color="D9D9D9"/>
              <w:left w:val="single" w:sz="4" w:color="D9D9D9"/>
              <w:bottom w:val="single" w:sz="4" w:color="D9D9D9"/>
              <w:right w:val="single" w:sz="4" w:color="D9D9D9"/>
            </w:tcBorders>
          </w:tcPr>
          <w:p>
            <w:pPr>
              <w:spacing w:before="80" w:after="80"/>
            </w:pPr>
            <w:r>
              <w:rPr>
                <w:b w:val="0"/>
                <w:sz w:val="20"/>
              </w:rPr>
              <w:t>Select spin category; preserve an accessible text label.</w:t>
            </w:r>
          </w:p>
        </w:tc>
      </w:tr>
      <w:tr>
        <w:trPr>
          <w:cantSplit/>
        </w:trPr>
        <w:tc>
          <w:tcPr>
            <w:tcW w:type="dxa" w:w="2232"/>
            <w:shd w:fill="FFFFFF"/>
            <w:tcBorders>
              <w:top w:val="single" w:sz="4" w:color="D9D9D9"/>
              <w:left w:val="single" w:sz="4" w:color="D9D9D9"/>
              <w:bottom w:val="single" w:sz="4" w:color="D9D9D9"/>
              <w:right w:val="single" w:sz="4" w:color="D9D9D9"/>
            </w:tcBorders>
          </w:tcPr>
          <w:p>
            <w:pPr>
              <w:spacing w:before="80" w:after="80"/>
            </w:pPr>
            <w:r>
              <w:rPr>
                <w:b w:val="0"/>
                <w:sz w:val="20"/>
              </w:rPr>
              <w:t>Spin rate</w:t>
            </w:r>
          </w:p>
        </w:tc>
        <w:tc>
          <w:tcPr>
            <w:tcW w:type="dxa" w:w="7848"/>
            <w:shd w:fill="FFFFFF"/>
            <w:tcBorders>
              <w:top w:val="single" w:sz="4" w:color="D9D9D9"/>
              <w:left w:val="single" w:sz="4" w:color="D9D9D9"/>
              <w:bottom w:val="single" w:sz="4" w:color="D9D9D9"/>
              <w:right w:val="single" w:sz="4" w:color="D9D9D9"/>
            </w:tcBorders>
          </w:tcPr>
          <w:p>
            <w:pPr>
              <w:spacing w:before="80" w:after="80"/>
            </w:pPr>
            <w:r>
              <w:rPr>
                <w:b w:val="0"/>
                <w:sz w:val="20"/>
              </w:rPr>
              <w:t>Adjust angular speed independently; display rev/s and support rad/s internally. Conversion: rad/s = 2π × rev/s.</w:t>
            </w:r>
          </w:p>
        </w:tc>
      </w:tr>
      <w:tr>
        <w:trPr>
          <w:cantSplit/>
        </w:trPr>
        <w:tc>
          <w:tcPr>
            <w:tcW w:type="dxa" w:w="2232"/>
            <w:shd w:fill="FFFFFF"/>
            <w:tcBorders>
              <w:top w:val="single" w:sz="4" w:color="D9D9D9"/>
              <w:left w:val="single" w:sz="4" w:color="D9D9D9"/>
              <w:bottom w:val="single" w:sz="4" w:color="D9D9D9"/>
              <w:right w:val="single" w:sz="4" w:color="D9D9D9"/>
            </w:tcBorders>
          </w:tcPr>
          <w:p>
            <w:pPr>
              <w:spacing w:before="80" w:after="80"/>
            </w:pPr>
            <w:r>
              <w:rPr>
                <w:b w:val="0"/>
                <w:sz w:val="20"/>
              </w:rPr>
              <w:t>Mixed spin balance</w:t>
            </w:r>
          </w:p>
        </w:tc>
        <w:tc>
          <w:tcPr>
            <w:tcW w:type="dxa" w:w="7848"/>
            <w:shd w:fill="FFFFFF"/>
            <w:tcBorders>
              <w:top w:val="single" w:sz="4" w:color="D9D9D9"/>
              <w:left w:val="single" w:sz="4" w:color="D9D9D9"/>
              <w:bottom w:val="single" w:sz="4" w:color="D9D9D9"/>
              <w:right w:val="single" w:sz="4" w:color="D9D9D9"/>
            </w:tcBorders>
          </w:tcPr>
          <w:p>
            <w:pPr>
              <w:spacing w:before="80" w:after="80"/>
            </w:pPr>
            <w:r>
              <w:rPr>
                <w:b w:val="0"/>
                <w:sz w:val="20"/>
              </w:rPr>
              <w:t>Adjust side versus top/back components. Explain whether total magnitude is held constant; recommended default is constant total magnitude.</w:t>
            </w:r>
          </w:p>
        </w:tc>
      </w:tr>
      <w:tr>
        <w:trPr>
          <w:cantSplit/>
        </w:trPr>
        <w:tc>
          <w:tcPr>
            <w:tcW w:type="dxa" w:w="2232"/>
            <w:shd w:fill="FFFFFF"/>
            <w:tcBorders>
              <w:top w:val="single" w:sz="4" w:color="D9D9D9"/>
              <w:left w:val="single" w:sz="4" w:color="D9D9D9"/>
              <w:bottom w:val="single" w:sz="4" w:color="D9D9D9"/>
              <w:right w:val="single" w:sz="4" w:color="D9D9D9"/>
            </w:tcBorders>
          </w:tcPr>
          <w:p>
            <w:pPr>
              <w:spacing w:before="80" w:after="80"/>
            </w:pPr>
            <w:r>
              <w:rPr>
                <w:b w:val="0"/>
                <w:sz w:val="20"/>
              </w:rPr>
              <w:t>Travel speed</w:t>
            </w:r>
          </w:p>
        </w:tc>
        <w:tc>
          <w:tcPr>
            <w:tcW w:type="dxa" w:w="7848"/>
            <w:shd w:fill="FFFFFF"/>
            <w:tcBorders>
              <w:top w:val="single" w:sz="4" w:color="D9D9D9"/>
              <w:left w:val="single" w:sz="4" w:color="D9D9D9"/>
              <w:bottom w:val="single" w:sz="4" w:color="D9D9D9"/>
              <w:right w:val="single" w:sz="4" w:color="D9D9D9"/>
            </w:tcBorders>
          </w:tcPr>
          <w:p>
            <w:pPr>
              <w:spacing w:before="80" w:after="80"/>
            </w:pPr>
            <w:r>
              <w:rPr>
                <w:b w:val="0"/>
                <w:sz w:val="20"/>
              </w:rPr>
              <w:t>Separate m/s value; affects translation only in travel mode. Disable with explanation in inspect mode.</w:t>
            </w:r>
          </w:p>
        </w:tc>
      </w:tr>
      <w:tr>
        <w:trPr>
          <w:cantSplit/>
        </w:trPr>
        <w:tc>
          <w:tcPr>
            <w:tcW w:type="dxa" w:w="2232"/>
            <w:shd w:fill="FFFFFF"/>
            <w:tcBorders>
              <w:top w:val="single" w:sz="4" w:color="D9D9D9"/>
              <w:left w:val="single" w:sz="4" w:color="D9D9D9"/>
              <w:bottom w:val="single" w:sz="4" w:color="D9D9D9"/>
              <w:right w:val="single" w:sz="4" w:color="D9D9D9"/>
            </w:tcBorders>
          </w:tcPr>
          <w:p>
            <w:pPr>
              <w:spacing w:before="80" w:after="80"/>
            </w:pPr>
            <w:r>
              <w:rPr>
                <w:b w:val="0"/>
                <w:sz w:val="20"/>
              </w:rPr>
              <w:t>Playback speed</w:t>
            </w:r>
          </w:p>
        </w:tc>
        <w:tc>
          <w:tcPr>
            <w:tcW w:type="dxa" w:w="7848"/>
            <w:shd w:fill="FFFFFF"/>
            <w:tcBorders>
              <w:top w:val="single" w:sz="4" w:color="D9D9D9"/>
              <w:left w:val="single" w:sz="4" w:color="D9D9D9"/>
              <w:bottom w:val="single" w:sz="4" w:color="D9D9D9"/>
              <w:right w:val="single" w:sz="4" w:color="D9D9D9"/>
            </w:tcBorders>
          </w:tcPr>
          <w:p>
            <w:pPr>
              <w:spacing w:before="80" w:after="80"/>
            </w:pPr>
            <w:r>
              <w:rPr>
                <w:b w:val="0"/>
                <w:sz w:val="20"/>
              </w:rPr>
              <w:t>Affects displayed time, not the stored physical values. Show “slow motion” and the time scale.</w:t>
            </w:r>
          </w:p>
        </w:tc>
      </w:tr>
      <w:tr>
        <w:trPr>
          <w:cantSplit/>
        </w:trPr>
        <w:tc>
          <w:tcPr>
            <w:tcW w:type="dxa" w:w="2232"/>
            <w:shd w:fill="FFFFFF"/>
            <w:tcBorders>
              <w:top w:val="single" w:sz="4" w:color="D9D9D9"/>
              <w:left w:val="single" w:sz="4" w:color="D9D9D9"/>
              <w:bottom w:val="single" w:sz="4" w:color="D9D9D9"/>
              <w:right w:val="single" w:sz="4" w:color="D9D9D9"/>
            </w:tcBorders>
          </w:tcPr>
          <w:p>
            <w:pPr>
              <w:spacing w:before="80" w:after="80"/>
            </w:pPr>
            <w:r>
              <w:rPr>
                <w:b w:val="0"/>
                <w:sz w:val="20"/>
              </w:rPr>
              <w:t>Camera</w:t>
            </w:r>
          </w:p>
        </w:tc>
        <w:tc>
          <w:tcPr>
            <w:tcW w:type="dxa" w:w="7848"/>
            <w:shd w:fill="FFFFFF"/>
            <w:tcBorders>
              <w:top w:val="single" w:sz="4" w:color="D9D9D9"/>
              <w:left w:val="single" w:sz="4" w:color="D9D9D9"/>
              <w:bottom w:val="single" w:sz="4" w:color="D9D9D9"/>
              <w:right w:val="single" w:sz="4" w:color="D9D9D9"/>
            </w:tcBorders>
          </w:tcPr>
          <w:p>
            <w:pPr>
              <w:spacing w:before="80" w:after="80"/>
            </w:pPr>
            <w:r>
              <w:rPr>
                <w:b w:val="0"/>
                <w:sz w:val="20"/>
              </w:rPr>
              <w:t>Receiver, side, and overhead presets. Include Reset view.</w:t>
            </w:r>
          </w:p>
        </w:tc>
      </w:tr>
      <w:tr>
        <w:trPr>
          <w:cantSplit/>
        </w:trPr>
        <w:tc>
          <w:tcPr>
            <w:tcW w:type="dxa" w:w="2232"/>
            <w:shd w:fill="FFFFFF"/>
            <w:tcBorders>
              <w:top w:val="single" w:sz="4" w:color="D9D9D9"/>
              <w:left w:val="single" w:sz="4" w:color="D9D9D9"/>
              <w:bottom w:val="single" w:sz="4" w:color="D9D9D9"/>
              <w:right w:val="single" w:sz="4" w:color="D9D9D9"/>
            </w:tcBorders>
          </w:tcPr>
          <w:p>
            <w:pPr>
              <w:spacing w:before="80" w:after="80"/>
            </w:pPr>
            <w:r>
              <w:rPr>
                <w:b w:val="0"/>
                <w:sz w:val="20"/>
              </w:rPr>
              <w:t>Visibility</w:t>
            </w:r>
          </w:p>
        </w:tc>
        <w:tc>
          <w:tcPr>
            <w:tcW w:type="dxa" w:w="7848"/>
            <w:shd w:fill="FFFFFF"/>
            <w:tcBorders>
              <w:top w:val="single" w:sz="4" w:color="D9D9D9"/>
              <w:left w:val="single" w:sz="4" w:color="D9D9D9"/>
              <w:bottom w:val="single" w:sz="4" w:color="D9D9D9"/>
              <w:right w:val="single" w:sz="4" w:color="D9D9D9"/>
            </w:tcBorders>
          </w:tcPr>
          <w:p>
            <w:pPr>
              <w:spacing w:before="80" w:after="80"/>
            </w:pPr>
            <w:r>
              <w:rPr>
                <w:b w:val="0"/>
                <w:sz w:val="20"/>
              </w:rPr>
              <w:t>Toggle axis, rotation arrow, travel arrow, and orientation labels.</w:t>
            </w:r>
          </w:p>
        </w:tc>
      </w:tr>
      <w:tr>
        <w:trPr>
          <w:cantSplit/>
        </w:trPr>
        <w:tc>
          <w:tcPr>
            <w:tcW w:type="dxa" w:w="2232"/>
            <w:shd w:fill="FFFFFF"/>
            <w:tcBorders>
              <w:top w:val="single" w:sz="4" w:color="D9D9D9"/>
              <w:left w:val="single" w:sz="4" w:color="D9D9D9"/>
              <w:bottom w:val="single" w:sz="4" w:color="D9D9D9"/>
              <w:right w:val="single" w:sz="4" w:color="D9D9D9"/>
            </w:tcBorders>
          </w:tcPr>
          <w:p>
            <w:pPr>
              <w:spacing w:before="80" w:after="80"/>
            </w:pPr>
            <w:r>
              <w:rPr>
                <w:b w:val="0"/>
                <w:sz w:val="20"/>
              </w:rPr>
              <w:t>Playback</w:t>
            </w:r>
          </w:p>
        </w:tc>
        <w:tc>
          <w:tcPr>
            <w:tcW w:type="dxa" w:w="7848"/>
            <w:shd w:fill="FFFFFF"/>
            <w:tcBorders>
              <w:top w:val="single" w:sz="4" w:color="D9D9D9"/>
              <w:left w:val="single" w:sz="4" w:color="D9D9D9"/>
              <w:bottom w:val="single" w:sz="4" w:color="D9D9D9"/>
              <w:right w:val="single" w:sz="4" w:color="D9D9D9"/>
            </w:tcBorders>
          </w:tcPr>
          <w:p>
            <w:pPr>
              <w:spacing w:before="80" w:after="80"/>
            </w:pPr>
            <w:r>
              <w:rPr>
                <w:b w:val="0"/>
                <w:sz w:val="20"/>
              </w:rPr>
              <w:t>Play, pause, and reset. Support keyboard operation and reduced motion.</w:t>
            </w:r>
          </w:p>
        </w:tc>
      </w:tr>
    </w:tbl>
    <w:p>
      <w:pPr>
        <w:spacing w:after="0"/>
      </w:pPr>
    </w:p>
    <w:p>
      <w:r>
        <w:t>Use conservative illustrative defaults that are easy to see. Slider limits are visualization settings, not the lexicon’s low, medium, and high thresholds. High spin rates can visually alias; slow playback and label the time scale rather than silently clamping the physical value.</w:t>
      </w:r>
    </w:p>
    <w:tbl>
      <w:tblPr>
        <w:tblW w:type="auto" w:w="0"/>
        <w:tblLayout w:type="fixed"/>
        <w:tblLook w:firstColumn="1" w:firstRow="1" w:lastColumn="0" w:lastRow="0" w:noHBand="0" w:noVBand="1" w:val="04A0"/>
      </w:tblPr>
      <w:tblGrid>
        <w:gridCol w:w="3528"/>
        <w:gridCol w:w="6552"/>
      </w:tblGrid>
      <w:tr>
        <w:trPr>
          <w:cantSplit/>
          <w:tblHeader/>
        </w:trPr>
        <w:tc>
          <w:tcPr>
            <w:tcW w:type="dxa" w:w="3528"/>
            <w:shd w:fill="DCE6F1"/>
            <w:tcBorders>
              <w:top w:val="single" w:sz="4" w:color="D9D9D9"/>
              <w:left w:val="single" w:sz="4" w:color="D9D9D9"/>
              <w:bottom w:val="single" w:sz="4" w:color="D9D9D9"/>
              <w:right w:val="single" w:sz="4" w:color="D9D9D9"/>
            </w:tcBorders>
          </w:tcPr>
          <w:p>
            <w:pPr>
              <w:spacing w:before="80" w:after="80"/>
            </w:pPr>
            <w:r>
              <w:rPr>
                <w:b/>
                <w:sz w:val="20"/>
              </w:rPr>
              <w:t>Input field</w:t>
            </w:r>
          </w:p>
        </w:tc>
        <w:tc>
          <w:tcPr>
            <w:tcW w:type="dxa" w:w="6552"/>
            <w:shd w:fill="DCE6F1"/>
            <w:tcBorders>
              <w:top w:val="single" w:sz="4" w:color="D9D9D9"/>
              <w:left w:val="single" w:sz="4" w:color="D9D9D9"/>
              <w:bottom w:val="single" w:sz="4" w:color="D9D9D9"/>
              <w:right w:val="single" w:sz="4" w:color="D9D9D9"/>
            </w:tcBorders>
          </w:tcPr>
          <w:p>
            <w:pPr>
              <w:spacing w:before="80" w:after="80"/>
            </w:pPr>
            <w:r>
              <w:rPr>
                <w:b/>
                <w:sz w:val="20"/>
              </w:rPr>
              <w:t>Meaning</w:t>
            </w:r>
          </w:p>
        </w:tc>
      </w:tr>
      <w:tr>
        <w:trPr>
          <w:cantSplit/>
        </w:trPr>
        <w:tc>
          <w:tcPr>
            <w:tcW w:type="dxa" w:w="3528"/>
            <w:shd w:fill="FFFFFF"/>
            <w:tcBorders>
              <w:top w:val="single" w:sz="4" w:color="D9D9D9"/>
              <w:left w:val="single" w:sz="4" w:color="D9D9D9"/>
              <w:bottom w:val="single" w:sz="4" w:color="D9D9D9"/>
              <w:right w:val="single" w:sz="4" w:color="D9D9D9"/>
            </w:tcBorders>
          </w:tcPr>
          <w:p>
            <w:pPr>
              <w:spacing w:before="80" w:after="80"/>
            </w:pPr>
            <w:r>
              <w:rPr>
                <w:b w:val="0"/>
                <w:sz w:val="20"/>
              </w:rPr>
              <w:t>schemaVersion and conventionVersion</w:t>
            </w:r>
          </w:p>
        </w:tc>
        <w:tc>
          <w:tcPr>
            <w:tcW w:type="dxa" w:w="6552"/>
            <w:shd w:fill="FFFFFF"/>
            <w:tcBorders>
              <w:top w:val="single" w:sz="4" w:color="D9D9D9"/>
              <w:left w:val="single" w:sz="4" w:color="D9D9D9"/>
              <w:bottom w:val="single" w:sz="4" w:color="D9D9D9"/>
              <w:right w:val="single" w:sz="4" w:color="D9D9D9"/>
            </w:tcBorders>
          </w:tcPr>
          <w:p>
            <w:pPr>
              <w:spacing w:before="80" w:after="80"/>
            </w:pPr>
            <w:r>
              <w:rPr>
                <w:b w:val="0"/>
                <w:sz w:val="20"/>
              </w:rPr>
              <w:t>Version the record format and coordinate conventions.</w:t>
            </w:r>
          </w:p>
        </w:tc>
      </w:tr>
      <w:tr>
        <w:trPr>
          <w:cantSplit/>
        </w:trPr>
        <w:tc>
          <w:tcPr>
            <w:tcW w:type="dxa" w:w="3528"/>
            <w:shd w:fill="FFFFFF"/>
            <w:tcBorders>
              <w:top w:val="single" w:sz="4" w:color="D9D9D9"/>
              <w:left w:val="single" w:sz="4" w:color="D9D9D9"/>
              <w:bottom w:val="single" w:sz="4" w:color="D9D9D9"/>
              <w:right w:val="single" w:sz="4" w:color="D9D9D9"/>
            </w:tcBorders>
          </w:tcPr>
          <w:p>
            <w:pPr>
              <w:spacing w:before="80" w:after="80"/>
            </w:pPr>
            <w:r>
              <w:rPr>
                <w:b w:val="0"/>
                <w:sz w:val="20"/>
              </w:rPr>
              <w:t>sourceKind</w:t>
            </w:r>
          </w:p>
        </w:tc>
        <w:tc>
          <w:tcPr>
            <w:tcW w:type="dxa" w:w="6552"/>
            <w:shd w:fill="FFFFFF"/>
            <w:tcBorders>
              <w:top w:val="single" w:sz="4" w:color="D9D9D9"/>
              <w:left w:val="single" w:sz="4" w:color="D9D9D9"/>
              <w:bottom w:val="single" w:sz="4" w:color="D9D9D9"/>
              <w:right w:val="single" w:sz="4" w:color="D9D9D9"/>
            </w:tcBorders>
          </w:tcPr>
          <w:p>
            <w:pPr>
              <w:spacing w:before="80" w:after="80"/>
            </w:pPr>
            <w:r>
              <w:rPr>
                <w:b w:val="0"/>
                <w:sz w:val="20"/>
              </w:rPr>
              <w:t>synthetic, observed, or derived. Viewer prototype uses synthetic.</w:t>
            </w:r>
          </w:p>
        </w:tc>
      </w:tr>
      <w:tr>
        <w:trPr>
          <w:cantSplit/>
        </w:trPr>
        <w:tc>
          <w:tcPr>
            <w:tcW w:type="dxa" w:w="3528"/>
            <w:shd w:fill="FFFFFF"/>
            <w:tcBorders>
              <w:top w:val="single" w:sz="4" w:color="D9D9D9"/>
              <w:left w:val="single" w:sz="4" w:color="D9D9D9"/>
              <w:bottom w:val="single" w:sz="4" w:color="D9D9D9"/>
              <w:right w:val="single" w:sz="4" w:color="D9D9D9"/>
            </w:tcBorders>
          </w:tcPr>
          <w:p>
            <w:pPr>
              <w:spacing w:before="80" w:after="80"/>
            </w:pPr>
            <w:r>
              <w:rPr>
                <w:b w:val="0"/>
                <w:sz w:val="20"/>
              </w:rPr>
              <w:t>angularVelocityRadPerSec</w:t>
            </w:r>
          </w:p>
        </w:tc>
        <w:tc>
          <w:tcPr>
            <w:tcW w:type="dxa" w:w="6552"/>
            <w:shd w:fill="FFFFFF"/>
            <w:tcBorders>
              <w:top w:val="single" w:sz="4" w:color="D9D9D9"/>
              <w:left w:val="single" w:sz="4" w:color="D9D9D9"/>
              <w:bottom w:val="single" w:sz="4" w:color="D9D9D9"/>
              <w:right w:val="single" w:sz="4" w:color="D9D9D9"/>
            </w:tcBorders>
          </w:tcPr>
          <w:p>
            <w:pPr>
              <w:spacing w:before="80" w:after="80"/>
            </w:pPr>
            <w:r>
              <w:rPr>
                <w:b w:val="0"/>
                <w:sz w:val="20"/>
              </w:rPr>
              <w:t>Finite x, y, z components in the declared frame.</w:t>
            </w:r>
          </w:p>
        </w:tc>
      </w:tr>
      <w:tr>
        <w:trPr>
          <w:cantSplit/>
        </w:trPr>
        <w:tc>
          <w:tcPr>
            <w:tcW w:type="dxa" w:w="3528"/>
            <w:shd w:fill="FFFFFF"/>
            <w:tcBorders>
              <w:top w:val="single" w:sz="4" w:color="D9D9D9"/>
              <w:left w:val="single" w:sz="4" w:color="D9D9D9"/>
              <w:bottom w:val="single" w:sz="4" w:color="D9D9D9"/>
              <w:right w:val="single" w:sz="4" w:color="D9D9D9"/>
            </w:tcBorders>
          </w:tcPr>
          <w:p>
            <w:pPr>
              <w:spacing w:before="80" w:after="80"/>
            </w:pPr>
            <w:r>
              <w:rPr>
                <w:b w:val="0"/>
                <w:sz w:val="20"/>
              </w:rPr>
              <w:t>linearVelocityMPerSec</w:t>
            </w:r>
          </w:p>
        </w:tc>
        <w:tc>
          <w:tcPr>
            <w:tcW w:type="dxa" w:w="6552"/>
            <w:shd w:fill="FFFFFF"/>
            <w:tcBorders>
              <w:top w:val="single" w:sz="4" w:color="D9D9D9"/>
              <w:left w:val="single" w:sz="4" w:color="D9D9D9"/>
              <w:bottom w:val="single" w:sz="4" w:color="D9D9D9"/>
              <w:right w:val="single" w:sz="4" w:color="D9D9D9"/>
            </w:tcBorders>
          </w:tcPr>
          <w:p>
            <w:pPr>
              <w:spacing w:before="80" w:after="80"/>
            </w:pPr>
            <w:r>
              <w:rPr>
                <w:b w:val="0"/>
                <w:sz w:val="20"/>
              </w:rPr>
              <w:t>Finite x, y, z components; independent of angular velocity.</w:t>
            </w:r>
          </w:p>
        </w:tc>
      </w:tr>
      <w:tr>
        <w:trPr>
          <w:cantSplit/>
        </w:trPr>
        <w:tc>
          <w:tcPr>
            <w:tcW w:type="dxa" w:w="3528"/>
            <w:shd w:fill="FFFFFF"/>
            <w:tcBorders>
              <w:top w:val="single" w:sz="4" w:color="D9D9D9"/>
              <w:left w:val="single" w:sz="4" w:color="D9D9D9"/>
              <w:bottom w:val="single" w:sz="4" w:color="D9D9D9"/>
              <w:right w:val="single" w:sz="4" w:color="D9D9D9"/>
            </w:tcBorders>
          </w:tcPr>
          <w:p>
            <w:pPr>
              <w:spacing w:before="80" w:after="80"/>
            </w:pPr>
            <w:r>
              <w:rPr>
                <w:b w:val="0"/>
                <w:sz w:val="20"/>
              </w:rPr>
              <w:t>spinLabel and evidenceStatus</w:t>
            </w:r>
          </w:p>
        </w:tc>
        <w:tc>
          <w:tcPr>
            <w:tcW w:type="dxa" w:w="6552"/>
            <w:shd w:fill="FFFFFF"/>
            <w:tcBorders>
              <w:top w:val="single" w:sz="4" w:color="D9D9D9"/>
              <w:left w:val="single" w:sz="4" w:color="D9D9D9"/>
              <w:bottom w:val="single" w:sz="4" w:color="D9D9D9"/>
              <w:right w:val="single" w:sz="4" w:color="D9D9D9"/>
            </w:tcBorders>
          </w:tcPr>
          <w:p>
            <w:pPr>
              <w:spacing w:before="80" w:after="80"/>
            </w:pPr>
            <w:r>
              <w:rPr>
                <w:b w:val="0"/>
                <w:sz w:val="20"/>
              </w:rPr>
              <w:t>Display label plus observed, derived, self-reported, or unknown where applicable.</w:t>
            </w:r>
          </w:p>
        </w:tc>
      </w:tr>
      <w:tr>
        <w:trPr>
          <w:cantSplit/>
        </w:trPr>
        <w:tc>
          <w:tcPr>
            <w:tcW w:type="dxa" w:w="3528"/>
            <w:shd w:fill="FFFFFF"/>
            <w:tcBorders>
              <w:top w:val="single" w:sz="4" w:color="D9D9D9"/>
              <w:left w:val="single" w:sz="4" w:color="D9D9D9"/>
              <w:bottom w:val="single" w:sz="4" w:color="D9D9D9"/>
              <w:right w:val="single" w:sz="4" w:color="D9D9D9"/>
            </w:tcBorders>
          </w:tcPr>
          <w:p>
            <w:pPr>
              <w:spacing w:before="80" w:after="80"/>
            </w:pPr>
            <w:r>
              <w:rPr>
                <w:b w:val="0"/>
                <w:sz w:val="20"/>
              </w:rPr>
              <w:t>measurementEvent</w:t>
            </w:r>
          </w:p>
        </w:tc>
        <w:tc>
          <w:tcPr>
            <w:tcW w:type="dxa" w:w="6552"/>
            <w:shd w:fill="FFFFFF"/>
            <w:tcBorders>
              <w:top w:val="single" w:sz="4" w:color="D9D9D9"/>
              <w:left w:val="single" w:sz="4" w:color="D9D9D9"/>
              <w:bottom w:val="single" w:sz="4" w:color="D9D9D9"/>
              <w:right w:val="single" w:sz="4" w:color="D9D9D9"/>
            </w:tcBorders>
          </w:tcPr>
          <w:p>
            <w:pPr>
              <w:spacing w:before="80" w:after="80"/>
            </w:pPr>
            <w:r>
              <w:rPr>
                <w:b w:val="0"/>
                <w:sz w:val="20"/>
              </w:rPr>
              <w:t>Synthetic example now; later identify after contact, before bounce, or other precise event.</w:t>
            </w:r>
          </w:p>
        </w:tc>
      </w:tr>
      <w:tr>
        <w:trPr>
          <w:cantSplit/>
        </w:trPr>
        <w:tc>
          <w:tcPr>
            <w:tcW w:type="dxa" w:w="3528"/>
            <w:shd w:fill="FFFFFF"/>
            <w:tcBorders>
              <w:top w:val="single" w:sz="4" w:color="D9D9D9"/>
              <w:left w:val="single" w:sz="4" w:color="D9D9D9"/>
              <w:bottom w:val="single" w:sz="4" w:color="D9D9D9"/>
              <w:right w:val="single" w:sz="4" w:color="D9D9D9"/>
            </w:tcBorders>
          </w:tcPr>
          <w:p>
            <w:pPr>
              <w:spacing w:before="80" w:after="80"/>
            </w:pPr>
            <w:r>
              <w:rPr>
                <w:b w:val="0"/>
                <w:sz w:val="20"/>
              </w:rPr>
              <w:t>sourceReference and classifierVersion</w:t>
            </w:r>
          </w:p>
        </w:tc>
        <w:tc>
          <w:tcPr>
            <w:tcW w:type="dxa" w:w="6552"/>
            <w:shd w:fill="FFFFFF"/>
            <w:tcBorders>
              <w:top w:val="single" w:sz="4" w:color="D9D9D9"/>
              <w:left w:val="single" w:sz="4" w:color="D9D9D9"/>
              <w:bottom w:val="single" w:sz="4" w:color="D9D9D9"/>
              <w:right w:val="single" w:sz="4" w:color="D9D9D9"/>
            </w:tcBorders>
          </w:tcPr>
          <w:p>
            <w:pPr>
              <w:spacing w:before="80" w:after="80"/>
            </w:pPr>
            <w:r>
              <w:rPr>
                <w:b w:val="0"/>
                <w:sz w:val="20"/>
              </w:rPr>
              <w:t>Optional future traceability to match, rally, event, and classification rule.</w:t>
            </w:r>
          </w:p>
        </w:tc>
      </w:tr>
      <w:tr>
        <w:trPr>
          <w:cantSplit/>
        </w:trPr>
        <w:tc>
          <w:tcPr>
            <w:tcW w:type="dxa" w:w="3528"/>
            <w:shd w:fill="FFFFFF"/>
            <w:tcBorders>
              <w:top w:val="single" w:sz="4" w:color="D9D9D9"/>
              <w:left w:val="single" w:sz="4" w:color="D9D9D9"/>
              <w:bottom w:val="single" w:sz="4" w:color="D9D9D9"/>
              <w:right w:val="single" w:sz="4" w:color="D9D9D9"/>
            </w:tcBorders>
          </w:tcPr>
          <w:p>
            <w:pPr>
              <w:spacing w:before="80" w:after="80"/>
            </w:pPr>
            <w:r>
              <w:rPr>
                <w:b w:val="0"/>
                <w:sz w:val="20"/>
              </w:rPr>
              <w:t>viewState</w:t>
            </w:r>
          </w:p>
        </w:tc>
        <w:tc>
          <w:tcPr>
            <w:tcW w:type="dxa" w:w="6552"/>
            <w:shd w:fill="FFFFFF"/>
            <w:tcBorders>
              <w:top w:val="single" w:sz="4" w:color="D9D9D9"/>
              <w:left w:val="single" w:sz="4" w:color="D9D9D9"/>
              <w:bottom w:val="single" w:sz="4" w:color="D9D9D9"/>
              <w:right w:val="single" w:sz="4" w:color="D9D9D9"/>
            </w:tcBorders>
          </w:tcPr>
          <w:p>
            <w:pPr>
              <w:spacing w:before="80" w:after="80"/>
            </w:pPr>
            <w:r>
              <w:rPr>
                <w:b w:val="0"/>
                <w:sz w:val="20"/>
              </w:rPr>
              <w:t>Camera, playback time scale, overlays, and playback status; keep separate from shot data.</w:t>
            </w:r>
          </w:p>
        </w:tc>
      </w:tr>
    </w:tbl>
    <w:p>
      <w:pPr>
        <w:spacing w:after="0"/>
      </w:pPr>
    </w:p>
    <w:p>
      <w:r>
        <w:t>Validate units and finite numeric values at the input boundary. Missing spin is unknown, not zero. Show an explanatory empty state for unknown spin; show a static ball for a valid zero vector. No live network connection is needed for the first release.</w:t>
      </w:r>
    </w:p>
    <w:p>
      <w:pPr>
        <w:pStyle w:val="Heading1"/>
        <w:pageBreakBefore/>
      </w:pPr>
      <w:r>
        <w:t>7 Acceptance criteria</w:t>
      </w:r>
    </w:p>
    <w:tbl>
      <w:tblPr>
        <w:tblW w:type="auto" w:w="0"/>
        <w:tblLayout w:type="fixed"/>
        <w:tblLook w:firstColumn="1" w:firstRow="1" w:lastColumn="0" w:lastRow="0" w:noHBand="0" w:noVBand="1" w:val="04A0"/>
      </w:tblPr>
      <w:tblGrid>
        <w:gridCol w:w="2880"/>
        <w:gridCol w:w="7200"/>
      </w:tblGrid>
      <w:tr>
        <w:trPr>
          <w:cantSplit/>
          <w:tblHeader/>
        </w:trPr>
        <w:tc>
          <w:tcPr>
            <w:tcW w:type="dxa" w:w="2880"/>
            <w:shd w:fill="DCE6F1"/>
            <w:tcBorders>
              <w:top w:val="single" w:sz="4" w:color="D9D9D9"/>
              <w:left w:val="single" w:sz="4" w:color="D9D9D9"/>
              <w:bottom w:val="single" w:sz="4" w:color="D9D9D9"/>
              <w:right w:val="single" w:sz="4" w:color="D9D9D9"/>
            </w:tcBorders>
          </w:tcPr>
          <w:p>
            <w:pPr>
              <w:spacing w:before="80" w:after="80"/>
            </w:pPr>
            <w:r>
              <w:rPr>
                <w:b/>
                <w:sz w:val="20"/>
              </w:rPr>
              <w:t>Test</w:t>
            </w:r>
          </w:p>
        </w:tc>
        <w:tc>
          <w:tcPr>
            <w:tcW w:type="dxa" w:w="7200"/>
            <w:shd w:fill="DCE6F1"/>
            <w:tcBorders>
              <w:top w:val="single" w:sz="4" w:color="D9D9D9"/>
              <w:left w:val="single" w:sz="4" w:color="D9D9D9"/>
              <w:bottom w:val="single" w:sz="4" w:color="D9D9D9"/>
              <w:right w:val="single" w:sz="4" w:color="D9D9D9"/>
            </w:tcBorders>
          </w:tcPr>
          <w:p>
            <w:pPr>
              <w:spacing w:before="80" w:after="80"/>
            </w:pPr>
            <w:r>
              <w:rPr>
                <w:b/>
                <w:sz w:val="20"/>
              </w:rPr>
              <w:t>Pass condition</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before="80" w:after="80"/>
            </w:pPr>
            <w:r>
              <w:rPr>
                <w:b w:val="0"/>
                <w:sz w:val="20"/>
              </w:rPr>
              <w:t>Pure topspin and backspin</w:t>
            </w:r>
          </w:p>
        </w:tc>
        <w:tc>
          <w:tcPr>
            <w:tcW w:type="dxa" w:w="7200"/>
            <w:shd w:fill="FFFFFF"/>
            <w:tcBorders>
              <w:top w:val="single" w:sz="4" w:color="D9D9D9"/>
              <w:left w:val="single" w:sz="4" w:color="D9D9D9"/>
              <w:bottom w:val="single" w:sz="4" w:color="D9D9D9"/>
              <w:right w:val="single" w:sz="4" w:color="D9D9D9"/>
            </w:tcBorders>
          </w:tcPr>
          <w:p>
            <w:pPr>
              <w:spacing w:before="80" w:after="80"/>
            </w:pPr>
            <w:r>
              <w:rPr>
                <w:b w:val="0"/>
                <w:sz w:val="20"/>
              </w:rPr>
              <w:t>For default incoming travel along +Z, top surface moves with travel for topspin and against travel for backspin.</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before="80" w:after="80"/>
            </w:pPr>
            <w:r>
              <w:rPr>
                <w:b w:val="0"/>
                <w:sz w:val="20"/>
              </w:rPr>
              <w:t>Sidespin signs</w:t>
            </w:r>
          </w:p>
        </w:tc>
        <w:tc>
          <w:tcPr>
            <w:tcW w:type="dxa" w:w="7200"/>
            <w:shd w:fill="FFFFFF"/>
            <w:tcBorders>
              <w:top w:val="single" w:sz="4" w:color="D9D9D9"/>
              <w:left w:val="single" w:sz="4" w:color="D9D9D9"/>
              <w:bottom w:val="single" w:sz="4" w:color="D9D9D9"/>
              <w:right w:val="single" w:sz="4" w:color="D9D9D9"/>
            </w:tcBorders>
          </w:tcPr>
          <w:p>
            <w:pPr>
              <w:spacing w:before="80" w:after="80"/>
            </w:pPr>
            <w:r>
              <w:rPr>
                <w:b w:val="0"/>
                <w:sz w:val="20"/>
              </w:rPr>
              <w:t>Overhead clockwise and counterclockwise motion match the labeled presets and declared Y signs.</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before="80" w:after="80"/>
            </w:pPr>
            <w:r>
              <w:rPr>
                <w:b w:val="0"/>
                <w:sz w:val="20"/>
              </w:rPr>
              <w:t>Mixed spin</w:t>
            </w:r>
          </w:p>
        </w:tc>
        <w:tc>
          <w:tcPr>
            <w:tcW w:type="dxa" w:w="7200"/>
            <w:shd w:fill="FFFFFF"/>
            <w:tcBorders>
              <w:top w:val="single" w:sz="4" w:color="D9D9D9"/>
              <w:left w:val="single" w:sz="4" w:color="D9D9D9"/>
              <w:bottom w:val="single" w:sz="4" w:color="D9D9D9"/>
              <w:right w:val="single" w:sz="4" w:color="D9D9D9"/>
            </w:tcBorders>
          </w:tcPr>
          <w:p>
            <w:pPr>
              <w:spacing w:before="80" w:after="80"/>
            </w:pPr>
            <w:r>
              <w:rPr>
                <w:b w:val="0"/>
                <w:sz w:val="20"/>
              </w:rPr>
              <w:t>Axis tilts continuously with component balance; surface motion matches the combined vector.</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before="80" w:after="80"/>
            </w:pPr>
            <w:r>
              <w:rPr>
                <w:b w:val="0"/>
                <w:sz w:val="20"/>
              </w:rPr>
              <w:t>Independent controls</w:t>
            </w:r>
          </w:p>
        </w:tc>
        <w:tc>
          <w:tcPr>
            <w:tcW w:type="dxa" w:w="7200"/>
            <w:shd w:fill="FFFFFF"/>
            <w:tcBorders>
              <w:top w:val="single" w:sz="4" w:color="D9D9D9"/>
              <w:left w:val="single" w:sz="4" w:color="D9D9D9"/>
              <w:bottom w:val="single" w:sz="4" w:color="D9D9D9"/>
              <w:right w:val="single" w:sz="4" w:color="D9D9D9"/>
            </w:tcBorders>
          </w:tcPr>
          <w:p>
            <w:pPr>
              <w:spacing w:before="80" w:after="80"/>
            </w:pPr>
            <w:r>
              <w:rPr>
                <w:b w:val="0"/>
                <w:sz w:val="20"/>
              </w:rPr>
              <w:t>Changing spin leaves travel speed unchanged; changing travel speed leaves spin unchanged.</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before="80" w:after="80"/>
            </w:pPr>
            <w:r>
              <w:rPr>
                <w:b w:val="0"/>
                <w:sz w:val="20"/>
              </w:rPr>
              <w:t>Camera invariance</w:t>
            </w:r>
          </w:p>
        </w:tc>
        <w:tc>
          <w:tcPr>
            <w:tcW w:type="dxa" w:w="7200"/>
            <w:shd w:fill="FFFFFF"/>
            <w:tcBorders>
              <w:top w:val="single" w:sz="4" w:color="D9D9D9"/>
              <w:left w:val="single" w:sz="4" w:color="D9D9D9"/>
              <w:bottom w:val="single" w:sz="4" w:color="D9D9D9"/>
              <w:right w:val="single" w:sz="4" w:color="D9D9D9"/>
            </w:tcBorders>
          </w:tcPr>
          <w:p>
            <w:pPr>
              <w:spacing w:before="80" w:after="80"/>
            </w:pPr>
            <w:r>
              <w:rPr>
                <w:b w:val="0"/>
                <w:sz w:val="20"/>
              </w:rPr>
              <w:t>Camera changes alter only the view, not physical state or labels.</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before="80" w:after="80"/>
            </w:pPr>
            <w:r>
              <w:rPr>
                <w:b w:val="0"/>
                <w:sz w:val="20"/>
              </w:rPr>
              <w:t>Timing</w:t>
            </w:r>
          </w:p>
        </w:tc>
        <w:tc>
          <w:tcPr>
            <w:tcW w:type="dxa" w:w="7200"/>
            <w:shd w:fill="FFFFFF"/>
            <w:tcBorders>
              <w:top w:val="single" w:sz="4" w:color="D9D9D9"/>
              <w:left w:val="single" w:sz="4" w:color="D9D9D9"/>
              <w:bottom w:val="single" w:sz="4" w:color="D9D9D9"/>
              <w:right w:val="single" w:sz="4" w:color="D9D9D9"/>
            </w:tcBorders>
          </w:tcPr>
          <w:p>
            <w:pPr>
              <w:spacing w:before="80" w:after="80"/>
            </w:pPr>
            <w:r>
              <w:rPr>
                <w:b w:val="0"/>
                <w:sz w:val="20"/>
              </w:rPr>
              <w:t>Equivalent simulated duration at different frame rates yields equivalent orientation within a documented numerical tolerance.</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before="80" w:after="80"/>
            </w:pPr>
            <w:r>
              <w:rPr>
                <w:b w:val="0"/>
                <w:sz w:val="20"/>
              </w:rPr>
              <w:t>Zero and missing values</w:t>
            </w:r>
          </w:p>
        </w:tc>
        <w:tc>
          <w:tcPr>
            <w:tcW w:type="dxa" w:w="7200"/>
            <w:shd w:fill="FFFFFF"/>
            <w:tcBorders>
              <w:top w:val="single" w:sz="4" w:color="D9D9D9"/>
              <w:left w:val="single" w:sz="4" w:color="D9D9D9"/>
              <w:bottom w:val="single" w:sz="4" w:color="D9D9D9"/>
              <w:right w:val="single" w:sz="4" w:color="D9D9D9"/>
            </w:tcBorders>
          </w:tcPr>
          <w:p>
            <w:pPr>
              <w:spacing w:before="80" w:after="80"/>
            </w:pPr>
            <w:r>
              <w:rPr>
                <w:b w:val="0"/>
                <w:sz w:val="20"/>
              </w:rPr>
              <w:t>Zero produces a nonrotating example; missing or invalid values produce an unknown or error state without misleading arrows.</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before="80" w:after="80"/>
            </w:pPr>
            <w:r>
              <w:rPr>
                <w:b w:val="0"/>
                <w:sz w:val="20"/>
              </w:rPr>
              <w:t>Playback scaling</w:t>
            </w:r>
          </w:p>
        </w:tc>
        <w:tc>
          <w:tcPr>
            <w:tcW w:type="dxa" w:w="7200"/>
            <w:shd w:fill="FFFFFF"/>
            <w:tcBorders>
              <w:top w:val="single" w:sz="4" w:color="D9D9D9"/>
              <w:left w:val="single" w:sz="4" w:color="D9D9D9"/>
              <w:bottom w:val="single" w:sz="4" w:color="D9D9D9"/>
              <w:right w:val="single" w:sz="4" w:color="D9D9D9"/>
            </w:tcBorders>
          </w:tcPr>
          <w:p>
            <w:pPr>
              <w:spacing w:before="80" w:after="80"/>
            </w:pPr>
            <w:r>
              <w:rPr>
                <w:b w:val="0"/>
                <w:sz w:val="20"/>
              </w:rPr>
              <w:t>Half-speed playback takes twice as long for the same physical motion; measured spin values remain unchanged.</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before="80" w:after="80"/>
            </w:pPr>
            <w:r>
              <w:rPr>
                <w:b w:val="0"/>
                <w:sz w:val="20"/>
              </w:rPr>
              <w:t>Accessibility</w:t>
            </w:r>
          </w:p>
        </w:tc>
        <w:tc>
          <w:tcPr>
            <w:tcW w:type="dxa" w:w="7200"/>
            <w:shd w:fill="FFFFFF"/>
            <w:tcBorders>
              <w:top w:val="single" w:sz="4" w:color="D9D9D9"/>
              <w:left w:val="single" w:sz="4" w:color="D9D9D9"/>
              <w:bottom w:val="single" w:sz="4" w:color="D9D9D9"/>
              <w:right w:val="single" w:sz="4" w:color="D9D9D9"/>
            </w:tcBorders>
          </w:tcPr>
          <w:p>
            <w:pPr>
              <w:spacing w:before="80" w:after="80"/>
            </w:pPr>
            <w:r>
              <w:rPr>
                <w:b w:val="0"/>
                <w:sz w:val="20"/>
              </w:rPr>
              <w:t>All controls work by keyboard, have screen-reader names, and respect reduced motion. Text explains the selected spin without animation.</w:t>
            </w:r>
          </w:p>
        </w:tc>
      </w:tr>
      <w:tr>
        <w:trPr>
          <w:cantSplit/>
        </w:trPr>
        <w:tc>
          <w:tcPr>
            <w:tcW w:type="dxa" w:w="2880"/>
            <w:shd w:fill="FFFFFF"/>
            <w:tcBorders>
              <w:top w:val="single" w:sz="4" w:color="D9D9D9"/>
              <w:left w:val="single" w:sz="4" w:color="D9D9D9"/>
              <w:bottom w:val="single" w:sz="4" w:color="D9D9D9"/>
              <w:right w:val="single" w:sz="4" w:color="D9D9D9"/>
            </w:tcBorders>
          </w:tcPr>
          <w:p>
            <w:pPr>
              <w:spacing w:before="80" w:after="80"/>
            </w:pPr>
            <w:r>
              <w:rPr>
                <w:b w:val="0"/>
                <w:sz w:val="20"/>
              </w:rPr>
              <w:t>Responsive layout</w:t>
            </w:r>
          </w:p>
        </w:tc>
        <w:tc>
          <w:tcPr>
            <w:tcW w:type="dxa" w:w="7200"/>
            <w:shd w:fill="FFFFFF"/>
            <w:tcBorders>
              <w:top w:val="single" w:sz="4" w:color="D9D9D9"/>
              <w:left w:val="single" w:sz="4" w:color="D9D9D9"/>
              <w:bottom w:val="single" w:sz="4" w:color="D9D9D9"/>
              <w:right w:val="single" w:sz="4" w:color="D9D9D9"/>
            </w:tcBorders>
          </w:tcPr>
          <w:p>
            <w:pPr>
              <w:spacing w:before="80" w:after="80"/>
            </w:pPr>
            <w:r>
              <w:rPr>
                <w:b w:val="0"/>
                <w:sz w:val="20"/>
              </w:rPr>
              <w:t>Controls remain usable on a narrow phone viewport and desktop; no horizontal overflow or obscured labels.</w:t>
            </w:r>
          </w:p>
        </w:tc>
      </w:tr>
    </w:tbl>
    <w:p>
      <w:pPr>
        <w:spacing w:after="0"/>
      </w:pPr>
    </w:p>
    <w:p>
      <w:pPr>
        <w:pStyle w:val="Heading1"/>
      </w:pPr>
      <w:r>
        <w:t>8 Build and review sequence</w:t>
      </w:r>
    </w:p>
    <w:p>
      <w:r>
        <w:t>First, agree on axis conventions and preset signs with a developer and a knowledgeable player. Second, implement the sphere and pure-axis presets. Third, add mixed spin, controls, camera presets, and accessible states. Fourth, validate the acceptance criteria and review on representative phone and desktop devices. Finally, document the component input contract and embed the viewer in the glossary.</w:t>
      </w:r>
    </w:p>
    <w:p>
      <w:r>
        <w:t>Viewer component definition of done: the glossary is usable without logs; all listed presets and controls work; the direction tests pass; coordinate conventions are documented; illustrative status is visible; and the team provides a short demonstration plus automated math tests and manual visual review results.</w:t>
      </w:r>
    </w:p>
    <w:p>
      <w:pPr>
        <w:pStyle w:val="Heading1"/>
      </w:pPr>
      <w:r>
        <w:t>9 Later visualization phases</w:t>
      </w:r>
    </w:p>
    <w:p>
      <w:r>
        <w:t>Receiver-view placement map: plot observed bounces, filter by spin, speed, and length, and show attempts alongside return error rates. Keep inferred serve length and uncertain labels visible. A backhand target requires an explicit handedness and position convention.</w:t>
      </w:r>
    </w:p>
    <w:p>
      <w:r>
        <w:t>Practice comparison: show the original shot beside a generated variation and highlight changed parameters. Only claim physical fidelity after export and trajectory validation. Feed both views from the same lexicon and coordinate contract.</w:t>
      </w:r>
    </w:p>
    <w:p>
      <w:pPr>
        <w:pStyle w:val="Heading1"/>
        <w:pageBreakBefore/>
      </w:pPr>
      <w:r>
        <w:t>10 Product milestones</w:t>
      </w:r>
    </w:p>
    <w:p>
      <w:r>
        <w:t>Milestone one is the smallest complete player-training experience. The viewer work described above is a component of that milestone. The exclusions in the viewer scope do not exclude analysis or export from the product milestone.</w:t>
      </w:r>
    </w:p>
    <w:p>
      <w:pPr>
        <w:pStyle w:val="Heading1"/>
      </w:pPr>
      <w:r>
        <w:t>Milestone one Explain and practice one shot category</w:t>
      </w:r>
    </w:p>
    <w:p>
      <w:pPr>
        <w:keepNext/>
      </w:pPr>
      <w:r>
        <w:rPr>
          <w:b/>
        </w:rPr>
        <w:t xml:space="preserve">Status as of 24 October 2026: PARTIAL - not complete. The illustrative interactive glossary and conservative broad first-return denominator now exist, with math and outcome tests. Key 54334.340 was previously confirmed usable by the player. Validated long/sidespin/backhand labels, log-frame conversion and representative-shot fidelity remain open. The explicitly agreed broader opponent-serve pilot does not close this milestone.</w:t>
      </w:r>
      <w:r>
        <w:t xml:space="preserve"/>
      </w:r>
    </w:p>
    <w:p>
      <w:r>
        <w:t>For the initial use case, show long sidespin serves toward the player’s backhand. Present the category description, a clear visual, the available evidence of return difficulty, and representative examples. Include attempts and errors, the number of matches, and classification uncertainty. Explain what the player should practice and how to judge a successful return.</w:t>
      </w:r>
    </w:p>
    <w:p>
      <w:r>
        <w:t>Provide a downloadable practice profile and/or copyable ball-machine key in the format Eleven actually accepts. The exact export and key-generation mechanism must be verified; do not assume a key is simply a downloadable file. The initial key reproduces one validated representative shot from the selected category. A category is a range of shots, so do not claim one example reproduces all of it.</w:t>
      </w:r>
    </w:p>
    <w:p>
      <w:r>
        <w:t>Practice instructions specify the objective, initial repeatable setup, return target, and a suggested session structure. Label suggested targets as practice goals rather than proven personalized thresholds. Avoid diagnosing racket technique from ball data alone. Where player evidence is insufficient, offer category practice with an explicit insufficient-data label rather than asserting a weakness.</w:t>
      </w:r>
    </w:p>
    <w:p>
      <w:r>
        <w:t>Completion gate: a player can understand the finding, obtain the key or compatible profile, load it in Eleven, and practice the intended shot. Validate spin direction, speed, bounce placement, and length against agreed tolerances. Manual log upload is acceptable for this milestone; automatic synchronization is not required. Live export compatibility and suitable shot evidence are blocking dependencies.</w:t>
      </w:r>
    </w:p>
    <w:p>
      <w:pPr>
        <w:pStyle w:val="Heading1"/>
      </w:pPr>
      <w:r>
        <w:t>Milestone two Practice controlled variations</w:t>
      </w:r>
    </w:p>
    <w:p>
      <w:pPr>
        <w:keepNext/>
      </w:pPr>
      <w:r>
        <w:rPr>
          <w:b/>
        </w:rPr>
        <w:t xml:space="preserve">Status as of 24 October 2026: </w:t>
      </w:r>
      <w:r>
        <w:t xml:space="preserve">PARTIAL. Generic controlled variation, two-location feeds and staged packages exist; later stages start inactive. Category-preserving spin, speed and placement variations have not been validated in-game. Original-versus-variation comparison is not yet implemented.</w:t>
      </w:r>
    </w:p>
    <w:p>
      <w:r>
        <w:t>Generate a small set of validated variations around the representative shot. Let the player vary spin, speed, or placement one at a time, then mix examples. Preserve the intended category and show what changed. Completion requires in-game verification that variations remain usable and match their descriptions.</w:t>
      </w:r>
    </w:p>
    <w:p>
      <w:pPr>
        <w:pStyle w:val="Heading1"/>
      </w:pPr>
      <w:r>
        <w:t>Milestone three Prioritize individual training</w:t>
      </w:r>
    </w:p>
    <w:p>
      <w:pPr>
        <w:keepNext/>
      </w:pPr>
      <w:r>
        <w:rPr>
          <w:b/>
        </w:rPr>
        <w:t xml:space="preserve">Status as of 24 October 2026: </w:t>
      </w:r>
      <w:r>
        <w:t xml:space="preserve">SUBSTANTIAL FOUNDATION - not complete. Multi-match loss ranking, traceable examples, mode filters, opponent context and small-sample gates are operational. Ranking currently uses equally weighted observed lost-point counts, not confidence-weighted recoverable impact. Strengths, maintenance recommendations and validated shot-category priorities remain to be added.</w:t>
      </w:r>
    </w:p>
    <w:p>
      <w:r>
        <w:t>Analyze multiple matches, rank recurring weaknesses by frequency, impact, and confidence, and recommend a small set of training priorities. Include strengths and opponent context. Completion requires traceable evidence for each recommendation and explicit handling of small samples.</w:t>
      </w:r>
    </w:p>
    <w:p>
      <w:pPr>
        <w:pStyle w:val="Heading1"/>
      </w:pPr>
      <w:r>
        <w:t>Milestone four Measure progress and reduce effort</w:t>
      </w:r>
    </w:p>
    <w:p>
      <w:pPr>
        <w:keepNext/>
      </w:pPr>
      <w:r>
        <w:rPr>
          <w:b/>
        </w:rPr>
        <w:t xml:space="preserve">Status as of 24 October 2026: </w:t>
      </w:r>
      <w:r>
        <w:t xml:space="preserve">FOUNDATION ONLY. File/match deduplication and daily aggregate charts exist. Processing is a full rerun, not incremental synchronization. Practice-result tracking, comparable-category progress measurement and evidence-based recommendation adjustment are not yet implemented.</w:t>
      </w:r>
    </w:p>
    <w:p>
      <w:r>
        <w:t>Compare performance against comparable shot categories in later matches, track practice where evidence is available, and adjust recommendations. Add local synchronization with incremental processing and duplicate prevention after connection feasibility is established. Separate improved outcomes from claims that practice caused them.</w:t>
      </w:r>
    </w:p>
    <w:p>
      <w:r>
        <w:t>Sequencing: validate the export path and log classification early, while building the viewer in parallel within the development team. Do not estimate dates until those dependencies and team capacity are known.</w:t>
      </w:r>
    </w:p>
    <w:p>
      <w:pPr>
        <w:pStyle w:val="Heading1"/>
        <w:pageBreakBefore/>
      </w:pPr>
      <w:r>
        <w:t>11 Longer term product vision</w:t>
      </w:r>
    </w:p>
    <w:p>
      <w:pPr>
        <w:pStyle w:val="Heading1"/>
      </w:pPr>
      <w:r>
        <w:t>Milestone five Opponent and playing style preparation</w:t>
      </w:r>
    </w:p>
    <w:p>
      <w:pPr>
        <w:keepNext/>
      </w:pPr>
      <w:r>
        <w:rPr>
          <w:b/>
        </w:rPr>
        <w:t xml:space="preserve">Status as of 24 October 2026: </w:t>
      </w:r>
      <w:r>
        <w:t xml:space="preserve">PARTIAL. The current sample yields 19 qualifying opponent/return-context groups with missed-return and failed-landing counts and point links. These are not identified serve families or return-error rates. Full scouting, tendencies and sequence analysis remain open. Player-specific keys are withheld until reproduction is validated.</w:t>
      </w:r>
    </w:p>
    <w:p>
      <w:r>
        <w:t>Build scouting summaries from available matches: frequently used serves, placement tendencies, recurring sequences, and how the player responds. Recommend practice against patterns rather than promising an exact clone of an opponent. Show data recency, coverage, and confidence; do not generalize from a handful of matches.</w:t>
      </w:r>
    </w:p>
    <w:p>
      <w:pPr>
        <w:pStyle w:val="Heading1"/>
      </w:pPr>
      <w:r>
        <w:t>Milestone six Adaptive training plans</w:t>
      </w:r>
    </w:p>
    <w:p>
      <w:pPr>
        <w:keepNext/>
      </w:pPr>
      <w:r>
        <w:rPr>
          <w:b/>
        </w:rPr>
        <w:t xml:space="preserve">Status as of 24 October 2026: </w:t>
      </w:r>
      <w:r>
        <w:t xml:space="preserve">NOT STARTED as an adaptive workflow. Static practice volumes and progression suggestions exist, but weekly scheduling, player goals/time budgets, completed-session capture and adaptive difficulty do not.</w:t>
      </w:r>
    </w:p>
    <w:p>
      <w:r>
        <w:t>Create weekly plans based on player goals, available practice time, recent performance, and completed sessions. Adjust difficulty and variation when evidence supports progression. If practice outcomes are not logged, accept explicitly labeled self-reports and use later matches to evaluate transfer. Include strengths and maintenance work as well as weaknesses.</w:t>
      </w:r>
    </w:p>
    <w:p>
      <w:pPr>
        <w:pStyle w:val="Heading1"/>
      </w:pPr>
      <w:r>
        <w:t>Milestone seven Rally decisions and tactical learning</w:t>
      </w:r>
    </w:p>
    <w:p>
      <w:pPr>
        <w:keepNext/>
      </w:pPr>
      <w:r>
        <w:rPr>
          <w:b/>
        </w:rPr>
        <w:t xml:space="preserve">Status as of 24 October 2026: </w:t>
      </w:r>
      <w:r>
        <w:t xml:space="preserve">FOUNDATION ONLY. Point-contact inspection and a timed serve-plus-rally reference collection exist. They do not establish tactical advantage, evaluate shot choices, or reproduce a measured reactive sequence.</w:t>
      </w:r>
    </w:p>
    <w:p>
      <w:r>
        <w:t>Expand from isolated balls to serve-return-third-ball patterns and longer exchanges. Explain where a player loses advantage and compare possible placement or shot-selection choices. Sequence recreation depends on what the ball machine or future game integrations support; use instructional scenarios when exact replay is unavailable.</w:t>
      </w:r>
    </w:p>
    <w:p>
      <w:pPr>
        <w:pStyle w:val="Heading1"/>
      </w:pPr>
      <w:r>
        <w:t>Milestone eight Coach collaboration and learning resources</w:t>
      </w:r>
    </w:p>
    <w:p>
      <w:pPr>
        <w:keepNext/>
      </w:pPr>
      <w:r>
        <w:rPr>
          <w:b/>
        </w:rPr>
        <w:t xml:space="preserve">Status as of 24 October 2026: </w:t>
      </w:r>
      <w:r>
        <w:t xml:space="preserve">NOT STARTED. Local exports and evidence links are available, but coach access, annotations, label correction and consent-based collaboration workflows are not implemented.</w:t>
      </w:r>
    </w:p>
    <w:p>
      <w:r>
        <w:t>Let players share selected analyses with a coach, annotate examples, set goals, and attach reviewed technique lessons. Provide coach correction of labels and recommendations. Use consent-based access and keep coaching feedback distinct from automated observations.</w:t>
      </w:r>
    </w:p>
    <w:p>
      <w:pPr>
        <w:pStyle w:val="Heading1"/>
      </w:pPr>
      <w:r>
        <w:t>Milestone nine Research and advanced simulation</w:t>
      </w:r>
    </w:p>
    <w:p>
      <w:pPr>
        <w:keepNext/>
      </w:pPr>
      <w:r>
        <w:rPr>
          <w:b/>
        </w:rPr>
        <w:t xml:space="preserve">Status as of 24 October 2026: </w:t>
      </w:r>
      <w:r>
        <w:t xml:space="preserve">NOT STARTED as calibrated simulation. Raw ball telemetry and measured-coordinate plots are available; calibrated trajectory reconstruction and reliable paddle/body motion measurements are not.</w:t>
      </w:r>
    </w:p>
    <w:p>
      <w:r>
        <w:t>Explore validated shot reconstruction, scenario simulation, and movement analysis if reliable racket, body, or video data becomes available. Treat equipment comparisons as observational unless a controlled test supports stronger conclusions. An opponent simulation should reproduce measured tendencies with uncertainty, not claim to reproduce the person.</w:t>
      </w:r>
    </w:p>
    <w:p>
      <w:pPr>
        <w:pStyle w:val="Heading1"/>
      </w:pPr>
      <w:r>
        <w:t>Milestone ten A broader improvement platform</w:t>
      </w:r>
    </w:p>
    <w:p>
      <w:pPr>
        <w:keepNext/>
      </w:pPr>
      <w:r>
        <w:rPr>
          <w:b/>
        </w:rPr>
        <w:t xml:space="preserve">Status as of 24 October 2026: </w:t>
      </w:r>
      <w:r>
        <w:t xml:space="preserve">NOT STARTED. Public key delivery is an existing building block, not a curated training library, comparable-player benchmark system, conversational analyst product or live-game integration.</w:t>
      </w:r>
    </w:p>
    <w:p>
      <w:r>
        <w:t>Offer opt-in benchmarks against comparable players, shared training libraries, and validated drill contributions. Add personalized explanations through a conversational analyst that cites the underlying matches and measurements. Consider post-session or between-match assistance before any live integration; feasibility and applicable game rules require separate review.</w:t>
      </w:r>
    </w:p>
    <w:p>
      <w:pPr>
        <w:pStyle w:val="Heading1"/>
      </w:pPr>
      <w:r>
        <w:t>Product success measures</w:t>
      </w:r>
    </w:p>
    <w:p>
      <w:r>
        <w:t>Track whether players understand their priorities, successfully load practice, complete sessions, and improve against comparable shot categories in later matches. Also track recommendation corrections, uncertainty, and false weakness alerts. More features or higher Elo alone do not demonstrate better coaching.</w:t>
      </w:r>
    </w:p>
    <w:p>
      <w:r>
        <w:t>These milestones express a long-term vision, not committed delivery dates. Each expansion should preserve an evidence trail and pass its data-feasibility gate. Reorder later milestones after player testing; retain milestone one as the first complete training outcome.</w:t>
      </w:r>
    </w:p>
    <w:p>
      <w:pPr>
        <w:pStyle w:val="Heading1"/>
        <w:pageBreakBefore/>
      </w:pPr>
      <w:r>
        <w:t xml:space="preserve">12 Completed work and evidence</w:t>
      </w:r>
    </w:p>
    <w:p>
      <w:r>
        <w:t xml:space="preserve">This is the current implementation baseline, not a declaration that the broader product milestones are complete. Evidence comes from source code, persisted analysis, automated/browser checks and the player's explicitly identified in-game test.</w:t>
      </w:r>
    </w:p>
    <w:p>
      <w:pPr>
        <w:pStyle w:val="ListBullet"/>
      </w:pPr>
      <w:r>
        <w:rPr>
          <w:b/>
        </w:rPr>
        <w:t xml:space="preserve">Local analysis pipeline. </w:t>
      </w:r>
      <w:r>
        <w:t xml:space="preserve">Read-only log ingestion for DigitalByooki (player 1909208), local match snapshot parsing, SHA-256 file deduplication, stable match grouping, validated single-point score transitions and persistent SQLite/JSON outputs are implemented. Unsupported or missing records are surfaced rather than invented. References: analyst.py and telemetry.py.</w:t>
      </w:r>
    </w:p>
    <w:p>
      <w:pPr>
        <w:pStyle w:val="ListBullet"/>
      </w:pPr>
      <w:r>
        <w:rPr>
          <w:b/>
        </w:rPr>
        <w:t xml:space="preserve">Current sample. </w:t>
      </w:r>
      <w:r>
        <w:t xml:space="preserve">The persisted profile generated on 24 October 2026 contains 35 completed matches (4 wins, 31 losses), 4 incomplete matches and a 42.0% completed-match point-win rate. Loss analysis includes 1,644 observed point transitions and 943 observed losses. These are sample statistics, not a controlled skill assessment.</w:t>
      </w:r>
    </w:p>
    <w:p>
      <w:pPr>
        <w:pStyle w:val="ListBullet"/>
      </w:pPr>
      <w:r>
        <w:rPr>
          <w:b/>
        </w:rPr>
        <w:t xml:space="preserve">Loss-driven priorities. </w:t>
      </w:r>
      <w:r>
        <w:t xml:space="preserve">Observed losses are disjointly classified: 650 shot-landing failures, 153 missed rally returns, 86 own-serve legality faults, 47 missed serve returns, 5 returns with unresolved context and 2 contact-rule losses. Priority screening requires five losses across two matches; this is not a statistical-significance claim. Source examples, contact corroboration, mode and opponent-strength context are available. References: loss_analysis.py and output/profile.json.</w:t>
      </w:r>
    </w:p>
    <w:p>
      <w:pPr>
        <w:pStyle w:val="ListBullet"/>
      </w:pPr>
      <w:r>
        <w:rPr>
          <w:b/>
        </w:rPr>
        <w:t xml:space="preserve">Point and opponent evidence. </w:t>
      </w:r>
      <w:r>
        <w:t xml:space="preserve">Bounded attempts, hit ownership, incoming/outgoing ball states and collision provenance are retained. Raw units and unavailable paddle pose are explicit. Opponent opportunities include contacted returns that failed to land as well as missed returns; 19 groups currently qualify. Known serve/rally context requires supporting contacts without known gaps. Loss counts are not validated receiving-attempt rates.</w:t>
      </w:r>
    </w:p>
    <w:p>
      <w:pPr>
        <w:pStyle w:val="ListBullet"/>
      </w:pPr>
      <w:r>
        <w:rPr>
          <w:b/>
        </w:rPr>
        <w:t xml:space="preserve">Practice packages and eligibility. </w:t>
      </w:r>
      <w:r>
        <w:t xml:space="preserve">Four general return-plan packages are available in the all-match sample: landing consistency, rally reception, serve reception and an unknown-context baseline. Reference serve-return, rally and combined collections remain available. Serve feeds use a provenance-backed game-default serve seed, never a relabeled rally feed. Later variation stages start inactive. Own serves remain manual coaching. Eligibility is enforced in both dashboard and publisher. Reference: practice.py.</w:t>
      </w:r>
    </w:p>
    <w:p>
      <w:pPr>
        <w:pStyle w:val="ListBullet"/>
      </w:pPr>
      <w:r>
        <w:rPr>
          <w:b/>
        </w:rPr>
        <w:t xml:space="preserve">Working key delivery. </w:t>
      </w:r>
      <w:r>
        <w:t xml:space="preserve">An optional loopback server publishes sanitized settings through 11 Hero with explicit consent, exact cloud read-back matching, durable receipts and no automatic repeat upload after uncertainty. Key 54334.340 has a verified receipt for the earlier serve-returns collection; the player reported successfully generating, loading and using it on 24 October 2026. This confirms delivery/import/use of that package, not long-sidespin/backhand classification or spin/speed/placement fidelity. Existing receipts are preserved. References: cloud_publish.py, serve.py and the local publication journal.</w:t>
      </w:r>
    </w:p>
    <w:p>
      <w:pPr>
        <w:pStyle w:val="ListBullet"/>
      </w:pPr>
      <w:r>
        <w:rPr>
          <w:b/>
        </w:rPr>
        <w:t xml:space="preserve">Dashboard and graphics. </w:t>
      </w:r>
      <w:r>
        <w:t xml:space="preserve">The self-contained offline dashboard provides mode-filtered priorities, searchable matches, point inspection, key workflows and opponent loss breakdowns. Shot graphics show raw X/Z and X/Y positions, normalized velocity-direction arrows and raw rotation-rate bars, keeping attempts separate. Per-feed previews show schematic targets, configured aim/spin, timing and stage activation. These are not a 3D animated spin glossary, a calibrated placement map, paddle animation or simulated flight. References: dashboard.py and dashboard/graphics.js.</w:t>
      </w:r>
    </w:p>
    <w:p>
      <w:pPr>
        <w:pStyle w:val="ListBullet"/>
      </w:pPr>
      <w:r>
        <w:rPr>
          <w:b/>
        </w:rPr>
        <w:t xml:space="preserve">Validation and privacy. </w:t>
      </w:r>
      <w:r>
        <w:t xml:space="preserve">The latest graphics work passed 16 targeted Python tests, 29 JavaScript tests and desktop/mobile browser checks at 1280, 390 and 320 pixels. Graphics models were checked against all 13,303 retained point-contact records and 16 generated feeds, with missing states explicit. Offline event handling and consent boundaries were checked; graphics tests performed no live uploads. Profiles, SQLite data, candidate settings and publication journals were preserved. Raw logs and credentials remain local; public sharing is limited to sanitized feed settings. References: tests/ and README.md.</w:t>
      </w:r>
    </w:p>
    <w:p>
      <w:r>
        <w:t xml:space="preserve">Evidence labels must remain distinct: implemented code, automated verification, player-reported in-game use and calibrated category fidelity are different claims. The strict fidelity gate is still open.</w:t>
      </w:r>
    </w:p>
    <w:p>
      <w:pPr>
        <w:pStyle w:val="Heading1"/>
        <w:pageBreakBefore/>
      </w:pPr>
      <w:r>
        <w:t xml:space="preserve">13 Recommended next steps and completion gates</w:t>
      </w:r>
    </w:p>
    <w:p>
      <w:r>
        <w:t xml:space="preserve">Current next gate: player-assisted review of the implemented glossary, source examples and a representative serve feed. The synthetic conventions and broader pilot scope are agreed. Continue with independent category review and actual in-game observations; the original milestone-one category and physical-fidelity requirements remain open.</w:t>
      </w:r>
    </w:p>
    <w:p>
      <w:pPr>
        <w:pStyle w:val="Heading2"/>
      </w:pPr>
      <w:r>
        <w:t xml:space="preserve">1. Agree the viewer contract before implementation</w:t>
      </w:r>
    </w:p>
    <w:p>
      <w:r>
        <w:t xml:space="preserve">Review the proposed right-handed frame, preset signs and clockwise/counterclockwise naming in sections 4-7 with a knowledgeable player. Choose a 3D rendering approach compatible with the current vanilla JavaScript, self-contained dashboard; there is no existing 3D engine or frontend framework to assume. Keep dependencies local rather than adding a runtime CDN. Record conventions and test fixtures before connecting any measured data.</w:t>
      </w:r>
    </w:p>
    <w:p>
      <w:pPr>
        <w:pStyle w:val="Heading2"/>
      </w:pPr>
      <w:r>
        <w:t xml:space="preserve">2. Build and validate the illustrative glossary component</w:t>
      </w:r>
    </w:p>
    <w:p>
      <w:r>
        <w:t xml:space="preserve">Implement the marked sphere, pure and mixed spin, independent controls, camera presets, pause/reset/slow motion and accessible static alternatives against synthetic inputs. Start paused. Meet the existing direction, camera-invariance, frame-rate-independence, zero/missing-data and responsive acceptance tests. Synthetic rad/s and m/s values must never be presented as converted log measurements without a validated mapping.</w:t>
      </w:r>
    </w:p>
    <w:p>
      <w:pPr>
        <w:pStyle w:val="Heading2"/>
      </w:pPr>
      <w:r>
        <w:t xml:space="preserve">3. Establish evidence for the initial shot category</w:t>
      </w:r>
    </w:p>
    <w:p>
      <w:r>
        <w:t xml:space="preserve">Review a small labeled serve sample covering successful and failed first returns. Establish log-to-viewer coordinates and units, handedness/receiver positioning, and observed-versus-derived length and spin rules. Count all classifiable receiving opportunities, not only point-ending losses; distinguish a failed first return from a later rally loss. Retain source references, classifier version and unknown/gap states. If long sidespin to backhand is not supportable, record the blocker and explicitly agree any pilot-category change rather than silently relabeling the data.</w:t>
      </w:r>
    </w:p>
    <w:p>
      <w:pPr>
        <w:pStyle w:val="Heading2"/>
      </w:pPr>
      <w:r>
        <w:t xml:space="preserve">4. Validate one representative category feed in Eleven</w:t>
      </w:r>
    </w:p>
    <w:p>
      <w:r>
        <w:t xml:space="preserve">Agree tolerances for spin direction, speed, legal bounces, placement and length before testing. Use the existing publishing path to obtain a key, then record the exact settings revision, key, observations and what was verified in-game. The working key 54334.340 is evidence for delivery, not automatic evidence that it matches the initial category. Milestone one needs a validated category representative; it does not require an exact opponent clone. Player-specific reproduction keys remain withheld until their separate fidelity gate passes.</w:t>
      </w:r>
    </w:p>
    <w:p>
      <w:pPr>
        <w:pStyle w:val="Heading2"/>
      </w:pPr>
      <w:r>
        <w:t xml:space="preserve">5. Complete one player-facing training loop</w:t>
      </w:r>
    </w:p>
    <w:p>
      <w:r>
        <w:t xml:space="preserve">Connect the validated category explanation and viewer to traceable examples, receiving attempts/errors, match counts, uncertainty, repeatable practice instructions and the validated key/profile. Conduct a player walkthrough showing understanding, successful loading and practice of the intended category. Record the evidence against the milestone-one completion gate before marking it complete.</w:t>
      </w:r>
    </w:p>
    <w:p>
      <w:pPr>
        <w:pStyle w:val="Heading2"/>
      </w:pPr>
      <w:r>
        <w:t xml:space="preserve">6. Extend from that validated baseline</w:t>
      </w:r>
    </w:p>
    <w:p>
      <w:r>
        <w:t xml:space="preserve">Next validate one-variable-at-a-time category-preserving variations for milestone two. Extend the existing milestone-three foundations with strengths and defensible category-level prioritization, then capture explicitly labeled practice outcomes and comparable-category progress for milestone four. Keep synchronization, adaptive schedules, opponent reconstruction and broader platform features behind their data-feasibility gates. Do not assign delivery dates until dependencies and capacity are known.</w:t>
      </w:r>
    </w:p>
    <w:p>
      <w:pPr>
        <w:pStyle w:val="Heading1"/>
      </w:pPr>
      <w:r>
        <w:t>14 Spin glossary and broad receiving pilot checkpoint</w:t>
      </w:r>
    </w:p>
    <w:p>
      <w:pPr>
        <w:pStyle w:val="Heading2"/>
      </w:pPr>
      <w:r>
        <w:t>Confirmed conventions and implemented viewer</w:t>
      </w:r>
    </w:p>
    <w:p>
      <w:r>
        <w:t>The player approved +X receiver right, +Y up, +Z incoming travel, with the receiver facing -Z. Topspin is +X; backspin -X; clockwise viewed from above -Y; counterclockwise +Y. The preference for right-handed play is stored by player ID, not applied to other players or used to infer backhand placement. These are synthetic conventions, not calibrated log axes.</w:t>
      </w:r>
    </w:p>
    <w:p>
      <w:r>
        <w:t>A dependency-free Canvas renderer uses quaternion rotation and depth-tested 3D sphere markings. It starts paused on topspin. Pure, mixed, zero and advanced axial presets; magnitude-preserving balance; independent spin/travel controls; camera presets; overlays; slow playback; stepping; reduced-motion handling; explanations and the synthetic input contract are implemented offline. Straight travel has an explicit loop reset and no curve or bounce simulation.</w:t>
      </w:r>
    </w:p>
    <w:p>
      <w:pPr>
        <w:pStyle w:val="Heading2"/>
      </w:pPr>
      <w:r>
        <w:t>Receiving-attempt evidence</w:t>
      </w:r>
    </w:p>
    <w:p>
      <w:r>
        <w:t>Classifier observed-first-return-1 finds 731 eligible terminal opponent-serve attempts across 38 matches: 47 missed first returns, 250 failed first-return landings, 407 returns followed by an opponent rally contact, 26 first-return winners and 1 unresolved outcome. The selected-sample failure fraction is 297/730 resolved attempts, or 40.7%; it is not an all-serve error probability.</w:t>
      </w:r>
    </w:p>
    <w:p>
      <w:r>
        <w:t>Known serve faults, nonterminal attempts, unbounded windows and measurement gaps are excluded explicitly. Earlier attempts do not inherit terminal outcomes. Return contact alone is not a success; later rally losses are not first-return failures. Source examples, classifier version, ranked/unranked scopes and unknown outcomes remain available. Automated rule tests do not establish independent ground truth or spin/length/backhand classification.</w:t>
      </w:r>
    </w:p>
    <w:p>
      <w:pPr>
        <w:pStyle w:val="Heading2"/>
      </w:pPr>
      <w:r>
        <w:t>Representative feed: validation prepared, not completed</w:t>
      </w:r>
    </w:p>
    <w:p>
      <w:r>
        <w:t>Existing key 54334.340 is the delivery baseline. The proposed test selects serve feed ANLY01 without changing settings, agrees a target before the run, and tests 20 feeds: 20 legal serve feeds, at least 18 target hits, and comfortable pace. Agreement must precede the run. The player has now accepted this 20-feed repeatability protocol and will test it in-game. Results remain pending. This agreement does not establish spin/speed/placement fidelity tolerances or log-derived personal targets.</w:t>
      </w:r>
    </w:p>
    <w:p>
      <w:r>
        <w:t>The dashboard records explicit player self-reports, key and feed identity, matching receipt revision when available, target, legal feeds and returns, pace and spin observations. Records persist in player-scoped browser storage with export. No test observations have been supplied by the player for this protocol; no new cloud upload was performed. Neither a saved report nor a repeatability pass unlocks player-specific keys.</w:t>
      </w:r>
    </w:p>
    <w:p>
      <w:pPr>
        <w:pStyle w:val="Heading2"/>
      </w:pPr>
      <w:r>
        <w:t>Verification and remaining gates</w:t>
      </w:r>
    </w:p>
    <w:p>
      <w:r>
        <w:t>Automated tests cover direction signs, rev/s conversion, frame-rate independence, normalized quaternion rotation, camera invariance, independent controls, playback scaling, zero versus unknown, receiving outcomes/exclusions/deduplication and protocol thresholds. Live browser checks exercise scope changes, source-point links, glossary controls and mocked observation save/export without writing test results to user storage. Persistent regeneration preserves 1,721 snapshots, existing settings and the publication journal.</w:t>
      </w:r>
    </w:p>
    <w:p>
      <w:r>
        <w:t>Next: obtain player visual feedback and actual in-game observations; revise the feed if needed and rerun the agreed test. Separately validate log-coordinate conversion and a labeled serve sample before introducing long-sidespin/backhand claims. Milestone one remains partial; opponent-specific reproduction remains gated.</w:t>
      </w:r>
    </w:p>
    <w:p>
      <w:pPr>
        <w:pStyle w:val="Heading1"/>
      </w:pPr>
      <w:r>
        <w:t>15 Named shot catalogue checkpoint - 24 October 2026</w:t>
      </w:r>
    </w:p>
    <w:p>
      <w:pPr>
        <w:pStyle w:val="Heading2"/>
      </w:pPr>
      <w:r>
        <w:t>Category definitions are implemented; automatic shot classification is not</w:t>
      </w:r>
    </w:p>
    <w:p>
      <w:r>
        <w:t>Shot Lexicon version shot-lexicon-1 defines incoming context, context-specific length/depth, receiving-side placement, spin family, explicit overhead sidespin direction and optional pace. Twelve starter categories are available in the dashboard, alongside a validated name builder, search/filtering, recognition cues, conditional counter-play guidance, success criteria, illustrative target-side diagrams and spin-glossary links.</w:t>
      </w:r>
    </w:p>
    <w:p>
      <w:r>
        <w:t>The featured category is the original milestone-one example: long sidespin serve to the backhand side, with sidespin direction not established. This is a definition to investigate, not a claim that logs already establish that specific personal weakness. Its broad side component does not rule out topspin or backspin; counter-play guidance requires identifying that component before choosing lift and racket angle.</w:t>
      </w:r>
    </w:p>
    <w:p>
      <w:pPr>
        <w:pStyle w:val="Heading2"/>
      </w:pPr>
      <w:r>
        <w:t>Starter categories</w:t>
      </w:r>
    </w:p>
    <w:p>
      <w:pPr>
        <w:pStyle w:val="ListBullet"/>
      </w:pPr>
      <w:r>
        <w:t>Long sidespin serve to the backhand side (sidespin direction unspecified)</w:t>
      </w:r>
    </w:p>
    <w:p>
      <w:pPr>
        <w:pStyle w:val="ListBullet"/>
      </w:pPr>
      <w:r>
        <w:t>Short backspin serve to the backhand side</w:t>
      </w:r>
    </w:p>
    <w:p>
      <w:pPr>
        <w:pStyle w:val="ListBullet"/>
      </w:pPr>
      <w:r>
        <w:t>Short backspin serve to the forehand side</w:t>
      </w:r>
    </w:p>
    <w:p>
      <w:pPr>
        <w:pStyle w:val="ListBullet"/>
      </w:pPr>
      <w:r>
        <w:t>Half-long sidespin-backspin serve to the table middle (sidespin direction unspecified)</w:t>
      </w:r>
    </w:p>
    <w:p>
      <w:pPr>
        <w:pStyle w:val="ListBullet"/>
      </w:pPr>
      <w:r>
        <w:t>Long topspin serve to the backhand side</w:t>
      </w:r>
    </w:p>
    <w:p>
      <w:pPr>
        <w:pStyle w:val="ListBullet"/>
      </w:pPr>
      <w:r>
        <w:t>Long backspin serve to the forehand side</w:t>
      </w:r>
    </w:p>
    <w:p>
      <w:pPr>
        <w:pStyle w:val="ListBullet"/>
      </w:pPr>
      <w:r>
        <w:t>Short negligible-spin serve to the table middle</w:t>
      </w:r>
    </w:p>
    <w:p>
      <w:pPr>
        <w:pStyle w:val="ListBullet"/>
      </w:pPr>
      <w:r>
        <w:t>Deep topspin rally ball to the backhand side</w:t>
      </w:r>
    </w:p>
    <w:p>
      <w:pPr>
        <w:pStyle w:val="ListBullet"/>
      </w:pPr>
      <w:r>
        <w:t>Deep topspin rally ball to the forehand side</w:t>
      </w:r>
    </w:p>
    <w:p>
      <w:pPr>
        <w:pStyle w:val="ListBullet"/>
      </w:pPr>
      <w:r>
        <w:t>Deep backspin rally ball to the backhand side</w:t>
      </w:r>
    </w:p>
    <w:p>
      <w:pPr>
        <w:pStyle w:val="ListBullet"/>
      </w:pPr>
      <w:r>
        <w:t>Mid-depth sidespin-topspin rally ball to the wide forehand side (sidespin direction unspecified)</w:t>
      </w:r>
    </w:p>
    <w:p>
      <w:pPr>
        <w:pStyle w:val="ListBullet"/>
      </w:pPr>
      <w:r>
        <w:t>Short backspin rally ball to the forehand side</w:t>
      </w:r>
    </w:p>
    <w:p>
      <w:pPr>
        <w:pStyle w:val="Heading2"/>
      </w:pPr>
      <w:r>
        <w:t>Evidence and naming safeguards</w:t>
      </w:r>
    </w:p>
    <w:p>
      <w:r>
        <w:t>Named-category attempts, failures and match counts are null/not classified, not zero. Broad first-return evidence remains separately labeled and follows the selected match mode; it is not copied into a named category. Category definitions do not publish Ball Machine Keys and do not unlock opponent-specific reproduction.</w:t>
      </w:r>
    </w:p>
    <w:p>
      <w:r>
        <w:t>Long serve length concerns a hypothetical next bounce beyond the end line; deep rally placement concerns the receiving bounce near that line. Table middle is not automatically the playing elbow. A backhand-side location is not a claim about the stroke used. Unknown spin is not negligible spin. Clockwise/counterclockwise labels are invariant under camera and handedness changes.</w:t>
      </w:r>
    </w:p>
    <w:p>
      <w:r>
        <w:t>The name builder supports 2,688 valid combinations and rejects inconsistent context/length and spin/direction choices. Starter definitions are persistent in output/shot_catalogue.json, the profile, SQLite profile JSON and the offline report. Exploratory builder changes can be exported as definitions; they do not become measured shot labels.</w:t>
      </w:r>
    </w:p>
    <w:p>
      <w:pPr>
        <w:pStyle w:val="Heading2"/>
      </w:pPr>
      <w:r>
        <w:t>Next steps toward most-missed serves and shots</w:t>
      </w:r>
    </w:p>
    <w:p>
      <w:r>
        <w:t>Validate log-to-receiver coordinate conversion and measurement-event consistency; establish receiving-bounce attribution, handedness/reference position and length/depth inference; agree classification boundaries; and review labeled successful and failed returns across games. Then assign each attempt once at the chosen category level, count immediate-return failures and resolved attempts, and rank recurring categories by observed point cost without losing source provenance.</w:t>
      </w:r>
    </w:p>
    <w:p>
      <w:r>
        <w:t>The player has accepted the separate 20-feed broad repeatability test for existing key 54334.340, feed ANLY01, but has not supplied results. That generic delivery baseline does not validate the featured long-sidespin/backhand category. Milestone one remains PARTIAL until a category representative and the original evidence/fidelity gates are met.</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Eleven Analyst  |  Interactive Spin Guide  |  Developer handoff v0.1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4</cp:revision>
  <dcterms:created xsi:type="dcterms:W3CDTF">2013-12-23T23:15:00Z</dcterms:created>
  <dcterms:modified xsi:type="dcterms:W3CDTF">2026-10-24T22:41:10Z</dcterms:modified>
  <cp:category/>
</cp:coreProperties>
</file>